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BC31D">
      <w:pPr>
        <w:keepNext w:val="0"/>
        <w:keepLines w:val="0"/>
        <w:pageBreakBefore w:val="0"/>
        <w:widowControl/>
        <w:suppressLineNumbers w:val="0"/>
        <w:shd w:val="clear"/>
        <w:kinsoku/>
        <w:wordWrap/>
        <w:overflowPunct/>
        <w:topLinePunct w:val="0"/>
        <w:autoSpaceDE/>
        <w:autoSpaceDN/>
        <w:bidi w:val="0"/>
        <w:adjustRightInd/>
        <w:snapToGrid/>
        <w:spacing w:line="554" w:lineRule="exact"/>
        <w:jc w:val="center"/>
        <w:textAlignment w:val="auto"/>
        <w:rPr>
          <w:rFonts w:hint="eastAsia" w:ascii="方正小标宋简体" w:hAnsi="方正小标宋简体" w:eastAsia="方正小标宋简体" w:cs="方正小标宋简体"/>
          <w:color w:val="000000"/>
          <w:kern w:val="0"/>
          <w:sz w:val="43"/>
          <w:szCs w:val="43"/>
          <w:lang w:val="en-US" w:eastAsia="zh-CN" w:bidi="ar"/>
        </w:rPr>
      </w:pPr>
      <w:r>
        <w:rPr>
          <w:rFonts w:hint="eastAsia" w:ascii="方正小标宋简体" w:hAnsi="方正小标宋简体" w:eastAsia="方正小标宋简体" w:cs="方正小标宋简体"/>
          <w:color w:val="000000"/>
          <w:kern w:val="0"/>
          <w:sz w:val="43"/>
          <w:szCs w:val="43"/>
          <w:lang w:val="en-US" w:eastAsia="zh-CN" w:bidi="ar"/>
        </w:rPr>
        <w:t>中共滦平县应急管理局委员会关于巡察整改</w:t>
      </w:r>
    </w:p>
    <w:p w14:paraId="2C74992A">
      <w:pPr>
        <w:keepNext w:val="0"/>
        <w:keepLines w:val="0"/>
        <w:pageBreakBefore w:val="0"/>
        <w:widowControl/>
        <w:suppressLineNumbers w:val="0"/>
        <w:shd w:val="clear"/>
        <w:kinsoku/>
        <w:wordWrap/>
        <w:overflowPunct/>
        <w:topLinePunct w:val="0"/>
        <w:autoSpaceDE/>
        <w:autoSpaceDN/>
        <w:bidi w:val="0"/>
        <w:adjustRightInd/>
        <w:snapToGrid/>
        <w:spacing w:line="554" w:lineRule="exact"/>
        <w:jc w:val="center"/>
        <w:textAlignment w:val="auto"/>
        <w:rPr>
          <w:rFonts w:hint="eastAsia" w:ascii="仿宋_GB2312" w:hAnsi="宋体" w:eastAsia="仿宋_GB2312" w:cs="仿宋_GB2312"/>
          <w:color w:val="000000"/>
          <w:kern w:val="0"/>
          <w:sz w:val="31"/>
          <w:szCs w:val="31"/>
          <w:lang w:val="en-US" w:eastAsia="zh-CN" w:bidi="ar"/>
        </w:rPr>
      </w:pPr>
      <w:r>
        <w:rPr>
          <w:rFonts w:hint="eastAsia" w:ascii="方正小标宋简体" w:hAnsi="方正小标宋简体" w:eastAsia="方正小标宋简体" w:cs="方正小标宋简体"/>
          <w:color w:val="000000"/>
          <w:kern w:val="0"/>
          <w:sz w:val="43"/>
          <w:szCs w:val="43"/>
          <w:lang w:val="en-US" w:eastAsia="zh-CN" w:bidi="ar"/>
        </w:rPr>
        <w:t>情况的通报</w:t>
      </w:r>
    </w:p>
    <w:p w14:paraId="09D2CAC2">
      <w:pPr>
        <w:pStyle w:val="2"/>
        <w:rPr>
          <w:rFonts w:hint="eastAsia"/>
          <w:lang w:val="en-US" w:eastAsia="zh-CN"/>
        </w:rPr>
      </w:pPr>
    </w:p>
    <w:p w14:paraId="24093418">
      <w:pPr>
        <w:keepNext w:val="0"/>
        <w:keepLines w:val="0"/>
        <w:pageBreakBefore w:val="0"/>
        <w:widowControl/>
        <w:suppressLineNumbers w:val="0"/>
        <w:shd w:val="clear"/>
        <w:kinsoku/>
        <w:wordWrap/>
        <w:overflowPunct/>
        <w:topLinePunct w:val="0"/>
        <w:autoSpaceDE/>
        <w:autoSpaceDN/>
        <w:bidi w:val="0"/>
        <w:adjustRightInd/>
        <w:snapToGrid/>
        <w:spacing w:line="554" w:lineRule="exact"/>
        <w:ind w:firstLine="632"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根据县委巡察工作统一部署，县委第四巡察组于2025年4月15日至6月30日，对滦平县应急管理局党委进行了常规巡察。9月12日，县委巡察组向滦平县应急管理局党委反馈了巡察意见。按照巡察工作有关要求，现将巡察整改进展情况予以公布。</w:t>
      </w:r>
    </w:p>
    <w:p w14:paraId="64D0C0E0">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一、总体情况</w:t>
      </w:r>
    </w:p>
    <w:p w14:paraId="51E54C09">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县委第四巡察组反馈意见后，局党委第一时间召开专题会议传达学习，深刻领会巡察反馈意见的核心要义和实践要求，切实把思想和行动统一到县委决策部署上来。成立了由局党委书记任组长，班子成员任副组长，各股室及下属单位负责人为成员的巡察整改工作领导小组，统筹推进整改工作。党委书记认真履行第一责任人职责，带头研究问题、制定措施、督导落实；班子成员按照 “一岗双责”要求，分工负责分管领域整改任务；各责任股室细化任务清单，确保责任到人、措施到位。</w:t>
      </w:r>
    </w:p>
    <w:p w14:paraId="553CDAB1">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通过党委会反复研讨、广泛征求纪委监委、巡察办、组织部意见，制定印发了《中共滦平县应急管理局委员会关于县委第四巡察组反馈意见的整改工作方案》，建立《中共滦平县应急管理局委员会落实县委第四巡察组反馈意见整改台账》，实行台账式管理、销号制推进。召开党委会议专题研究整改工作，并开展1次整改成效专项督查，及时解决整改过程中的难点堵点问题。同时，坚持举一反三、标本兼治，在解决具体问题的基础上，深挖问题根源，完善制度机制，推动整改成果常态化、长效化。</w:t>
      </w:r>
    </w:p>
    <w:p w14:paraId="32A4D113">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二、反馈问题整改落实情况</w:t>
      </w:r>
    </w:p>
    <w:p w14:paraId="6A3C59B3">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县委第四巡察组组反馈了10方面32个具体问题，通过集中整改，截至目前，已全部整改完成。具体内容:</w:t>
      </w:r>
    </w:p>
    <w:p w14:paraId="3C8C90DE">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（一）在“上轮</w:t>
      </w:r>
      <w:r>
        <w:rPr>
          <w:rFonts w:hint="eastAsia" w:ascii="楷体_GB2312" w:hAnsi="楷体_GB2312" w:eastAsia="楷体_GB2312" w:cs="楷体_GB2312"/>
          <w:b/>
          <w:bCs/>
          <w:color w:val="auto"/>
          <w:sz w:val="32"/>
          <w:szCs w:val="32"/>
          <w:highlight w:val="none"/>
          <w:lang w:val="en-US" w:eastAsia="zh-CN"/>
        </w:rPr>
        <w:t>巡察整改</w:t>
      </w:r>
      <w:r>
        <w:rPr>
          <w:rFonts w:hint="eastAsia" w:ascii="楷体_GB2312" w:hAnsi="楷体_GB2312" w:eastAsia="楷体_GB2312" w:cs="楷体_GB2312"/>
          <w:b/>
          <w:bCs/>
          <w:color w:val="000000"/>
          <w:kern w:val="0"/>
          <w:sz w:val="32"/>
          <w:szCs w:val="32"/>
          <w:lang w:val="en-US" w:eastAsia="zh-CN" w:bidi="ar"/>
        </w:rPr>
        <w:t>”</w:t>
      </w:r>
      <w:r>
        <w:rPr>
          <w:rFonts w:hint="eastAsia" w:ascii="楷体_GB2312" w:hAnsi="楷体_GB2312" w:eastAsia="楷体_GB2312" w:cs="楷体_GB2312"/>
          <w:b/>
          <w:bCs/>
          <w:color w:val="auto"/>
          <w:sz w:val="32"/>
          <w:szCs w:val="32"/>
          <w:highlight w:val="none"/>
          <w:lang w:val="en-US" w:eastAsia="zh-CN"/>
        </w:rPr>
        <w:t>方面</w:t>
      </w:r>
    </w:p>
    <w:p w14:paraId="4851CCF6">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b/>
          <w:bCs/>
          <w:sz w:val="32"/>
          <w:szCs w:val="32"/>
        </w:rPr>
      </w:pPr>
      <w:r>
        <w:rPr>
          <w:rFonts w:hint="eastAsia" w:ascii="仿宋_GB2312" w:hAnsi="宋体" w:eastAsia="仿宋_GB2312" w:cs="仿宋_GB2312"/>
          <w:b/>
          <w:bCs/>
          <w:color w:val="000000"/>
          <w:kern w:val="0"/>
          <w:sz w:val="32"/>
          <w:szCs w:val="32"/>
          <w:lang w:val="en-US" w:eastAsia="zh-CN" w:bidi="ar"/>
        </w:rPr>
        <w:t>1.关于“</w:t>
      </w:r>
      <w:r>
        <w:rPr>
          <w:rFonts w:hint="eastAsia" w:ascii="仿宋_GB2312" w:hAnsi="仿宋_GB2312" w:eastAsia="仿宋_GB2312" w:cs="仿宋_GB2312"/>
          <w:b/>
          <w:bCs/>
          <w:color w:val="auto"/>
          <w:sz w:val="32"/>
          <w:szCs w:val="32"/>
          <w:highlight w:val="none"/>
        </w:rPr>
        <w:t>上轮</w:t>
      </w:r>
      <w:r>
        <w:rPr>
          <w:rFonts w:hint="eastAsia" w:ascii="仿宋_GB2312" w:hAnsi="仿宋_GB2312" w:eastAsia="仿宋_GB2312" w:cs="仿宋_GB2312"/>
          <w:b/>
          <w:bCs/>
          <w:color w:val="auto"/>
          <w:sz w:val="32"/>
          <w:szCs w:val="32"/>
          <w:highlight w:val="none"/>
          <w:lang w:val="en-US" w:eastAsia="zh-CN"/>
        </w:rPr>
        <w:t>巡察</w:t>
      </w:r>
      <w:r>
        <w:rPr>
          <w:rFonts w:hint="eastAsia" w:ascii="仿宋_GB2312" w:hAnsi="仿宋_GB2312" w:eastAsia="仿宋_GB2312" w:cs="仿宋_GB2312"/>
          <w:b/>
          <w:bCs/>
          <w:color w:val="auto"/>
          <w:sz w:val="32"/>
          <w:szCs w:val="32"/>
          <w:highlight w:val="none"/>
        </w:rPr>
        <w:t>发现问题整改主要情况</w:t>
      </w:r>
      <w:r>
        <w:rPr>
          <w:rFonts w:hint="eastAsia" w:ascii="仿宋_GB2312" w:hAnsi="宋体" w:eastAsia="仿宋_GB2312" w:cs="仿宋_GB2312"/>
          <w:b/>
          <w:bCs/>
          <w:color w:val="000000"/>
          <w:kern w:val="0"/>
          <w:sz w:val="32"/>
          <w:szCs w:val="32"/>
          <w:lang w:val="en-US" w:eastAsia="zh-CN" w:bidi="ar"/>
        </w:rPr>
        <w:t>”问题</w:t>
      </w:r>
      <w:bookmarkStart w:id="0" w:name="_GoBack"/>
      <w:bookmarkEnd w:id="0"/>
    </w:p>
    <w:p w14:paraId="7208FAF5">
      <w:pPr>
        <w:pStyle w:val="6"/>
        <w:keepNext w:val="0"/>
        <w:keepLines w:val="0"/>
        <w:pageBreakBefore w:val="0"/>
        <w:widowControl w:val="0"/>
        <w:shd w:val="clear"/>
        <w:kinsoku/>
        <w:wordWrap/>
        <w:overflowPunct/>
        <w:topLinePunct w:val="0"/>
        <w:autoSpaceDE/>
        <w:autoSpaceDN/>
        <w:bidi w:val="0"/>
        <w:snapToGrid/>
        <w:spacing w:after="0" w:line="554" w:lineRule="exact"/>
        <w:ind w:leftChars="0" w:firstLine="632" w:firstLineChars="200"/>
        <w:jc w:val="left"/>
        <w:outlineLvl w:val="9"/>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b w:val="0"/>
          <w:bCs w:val="0"/>
          <w:color w:val="auto"/>
          <w:kern w:val="0"/>
          <w:sz w:val="32"/>
          <w:szCs w:val="32"/>
          <w:highlight w:val="none"/>
          <w:lang w:val="en-US" w:eastAsia="zh-CN" w:bidi="ar"/>
        </w:rPr>
        <w:t>加快清理往来欠账进度，动态化推进对账工作。每年年末与财政对账，确保账目清晰、数据准确。</w:t>
      </w:r>
      <w:r>
        <w:rPr>
          <w:rFonts w:hint="eastAsia" w:ascii="仿宋_GB2312" w:hAnsi="仿宋_GB2312" w:eastAsia="仿宋_GB2312" w:cs="仿宋_GB2312"/>
          <w:b/>
          <w:bCs/>
          <w:color w:val="auto"/>
          <w:kern w:val="0"/>
          <w:sz w:val="32"/>
          <w:szCs w:val="32"/>
          <w:highlight w:val="none"/>
          <w:lang w:val="en-US" w:eastAsia="zh-CN" w:bidi="ar"/>
        </w:rPr>
        <w:t>二是</w:t>
      </w:r>
      <w:r>
        <w:rPr>
          <w:rFonts w:hint="eastAsia" w:ascii="仿宋_GB2312" w:hAnsi="仿宋_GB2312" w:eastAsia="仿宋_GB2312" w:cs="仿宋_GB2312"/>
          <w:b w:val="0"/>
          <w:bCs w:val="0"/>
          <w:color w:val="auto"/>
          <w:kern w:val="0"/>
          <w:sz w:val="32"/>
          <w:szCs w:val="32"/>
          <w:highlight w:val="none"/>
          <w:lang w:val="en-US" w:eastAsia="zh-CN" w:bidi="ar"/>
        </w:rPr>
        <w:t>分级明确清理优先级，按照“时间+金额”划分清理顺序，先清理3年以上或金额超50万元的往来款；再清理3年以内50万元以下往来款。</w:t>
      </w:r>
      <w:r>
        <w:rPr>
          <w:rFonts w:hint="eastAsia" w:ascii="仿宋_GB2312" w:hAnsi="仿宋_GB2312" w:eastAsia="仿宋_GB2312" w:cs="仿宋_GB2312"/>
          <w:b/>
          <w:bCs/>
          <w:color w:val="auto"/>
          <w:kern w:val="0"/>
          <w:sz w:val="32"/>
          <w:szCs w:val="32"/>
          <w:highlight w:val="none"/>
          <w:lang w:val="en-US" w:eastAsia="zh-CN" w:bidi="ar"/>
        </w:rPr>
        <w:t>三是</w:t>
      </w:r>
      <w:r>
        <w:rPr>
          <w:rFonts w:hint="eastAsia" w:ascii="仿宋_GB2312" w:hAnsi="仿宋_GB2312" w:eastAsia="仿宋_GB2312" w:cs="仿宋_GB2312"/>
          <w:b w:val="0"/>
          <w:bCs w:val="0"/>
          <w:color w:val="auto"/>
          <w:kern w:val="0"/>
          <w:sz w:val="32"/>
          <w:szCs w:val="32"/>
          <w:highlight w:val="none"/>
          <w:lang w:val="en-US" w:eastAsia="zh-CN" w:bidi="ar"/>
        </w:rPr>
        <w:t>主动加强与财政部门沟通协调，并向县政府请示汇报，加快推动企业安全生产风险抵押金退还进度。</w:t>
      </w:r>
    </w:p>
    <w:p w14:paraId="69C5D81F">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color w:val="000000"/>
          <w:kern w:val="0"/>
          <w:sz w:val="32"/>
          <w:szCs w:val="32"/>
          <w:lang w:val="en-US" w:eastAsia="zh-CN" w:bidi="ar"/>
        </w:rPr>
        <w:t>（二）在“</w:t>
      </w:r>
      <w:r>
        <w:rPr>
          <w:rFonts w:hint="eastAsia" w:ascii="楷体_GB2312" w:hAnsi="楷体_GB2312" w:eastAsia="楷体_GB2312" w:cs="楷体_GB2312"/>
          <w:b/>
          <w:bCs/>
          <w:color w:val="auto"/>
          <w:sz w:val="32"/>
          <w:szCs w:val="32"/>
          <w:highlight w:val="none"/>
        </w:rPr>
        <w:t>学习贯彻习近平新时代中国特色社会主义思想不够深入</w:t>
      </w:r>
      <w:r>
        <w:rPr>
          <w:rFonts w:hint="eastAsia" w:ascii="楷体_GB2312" w:hAnsi="楷体_GB2312" w:eastAsia="楷体_GB2312" w:cs="楷体_GB2312"/>
          <w:b/>
          <w:bCs/>
          <w:color w:val="000000"/>
          <w:kern w:val="0"/>
          <w:sz w:val="32"/>
          <w:szCs w:val="32"/>
          <w:lang w:val="en-US" w:eastAsia="zh-CN" w:bidi="ar"/>
        </w:rPr>
        <w:t>”</w:t>
      </w:r>
      <w:r>
        <w:rPr>
          <w:rFonts w:hint="eastAsia" w:ascii="楷体_GB2312" w:hAnsi="楷体_GB2312" w:eastAsia="楷体_GB2312" w:cs="楷体_GB2312"/>
          <w:b/>
          <w:bCs/>
          <w:color w:val="auto"/>
          <w:sz w:val="32"/>
          <w:szCs w:val="32"/>
          <w:highlight w:val="none"/>
          <w:lang w:eastAsia="zh-CN"/>
        </w:rPr>
        <w:t>方面</w:t>
      </w:r>
    </w:p>
    <w:p w14:paraId="54347025">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2.关于“‘安全第一、预防为主’的政治理论学习有欠缺”问题</w:t>
      </w:r>
    </w:p>
    <w:p w14:paraId="76F5DB61">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outlineLvl w:val="9"/>
        <w:rPr>
          <w:rFonts w:hint="default"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bCs/>
          <w:color w:val="auto"/>
          <w:sz w:val="32"/>
          <w:szCs w:val="32"/>
          <w:highlight w:val="none"/>
          <w:lang w:eastAsia="zh-CN"/>
        </w:rPr>
        <w:t>一是</w:t>
      </w:r>
      <w:r>
        <w:rPr>
          <w:rFonts w:hint="eastAsia" w:ascii="仿宋_GB2312" w:hAnsi="仿宋_GB2312" w:eastAsia="仿宋_GB2312" w:cs="仿宋_GB2312"/>
          <w:b w:val="0"/>
          <w:bCs w:val="0"/>
          <w:color w:val="auto"/>
          <w:sz w:val="32"/>
          <w:szCs w:val="32"/>
          <w:highlight w:val="none"/>
          <w:lang w:eastAsia="zh-CN"/>
        </w:rPr>
        <w:t>建立健全“关键少数”领学机制，将学习贯彻习近平总书记关于安全生产的重要批示精神以及省委安全生产重要文件列为党委“</w:t>
      </w:r>
      <w:r>
        <w:rPr>
          <w:rFonts w:hint="eastAsia" w:ascii="仿宋_GB2312" w:hAnsi="仿宋_GB2312" w:eastAsia="仿宋_GB2312" w:cs="仿宋_GB2312"/>
          <w:b w:val="0"/>
          <w:bCs w:val="0"/>
          <w:color w:val="auto"/>
          <w:sz w:val="32"/>
          <w:szCs w:val="32"/>
          <w:highlight w:val="none"/>
          <w:lang w:val="en-US" w:eastAsia="zh-CN"/>
        </w:rPr>
        <w:t>第一议题</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内容</w:t>
      </w:r>
      <w:r>
        <w:rPr>
          <w:rFonts w:hint="eastAsia" w:ascii="仿宋_GB2312" w:hAnsi="仿宋_GB2312" w:eastAsia="仿宋_GB2312" w:cs="仿宋_GB2312"/>
          <w:b w:val="0"/>
          <w:bCs w:val="0"/>
          <w:color w:val="auto"/>
          <w:sz w:val="32"/>
          <w:szCs w:val="32"/>
          <w:highlight w:val="none"/>
          <w:lang w:eastAsia="zh-CN"/>
        </w:rPr>
        <w:t>，通过一把手带头学带头讲、班子成员集体学轮流讲等形式，形成示范效应。</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color w:val="auto"/>
          <w:sz w:val="32"/>
          <w:szCs w:val="32"/>
          <w:highlight w:val="none"/>
        </w:rPr>
        <w:t>通过</w:t>
      </w:r>
      <w:r>
        <w:rPr>
          <w:rFonts w:hint="eastAsia" w:ascii="仿宋_GB2312" w:hAnsi="仿宋_GB2312" w:eastAsia="仿宋_GB2312" w:cs="仿宋_GB2312"/>
          <w:color w:val="auto"/>
          <w:sz w:val="32"/>
          <w:szCs w:val="32"/>
          <w:highlight w:val="none"/>
          <w:lang w:eastAsia="zh-CN"/>
        </w:rPr>
        <w:t>理论学习中心组</w:t>
      </w:r>
      <w:r>
        <w:rPr>
          <w:rFonts w:hint="eastAsia" w:ascii="仿宋_GB2312" w:hAnsi="仿宋_GB2312" w:eastAsia="仿宋_GB2312" w:cs="仿宋_GB2312"/>
          <w:color w:val="auto"/>
          <w:sz w:val="32"/>
          <w:szCs w:val="32"/>
          <w:highlight w:val="none"/>
        </w:rPr>
        <w:t>、党支部“三会一课”等形式，</w:t>
      </w:r>
      <w:r>
        <w:rPr>
          <w:rFonts w:hint="eastAsia" w:ascii="仿宋_GB2312" w:hAnsi="仿宋_GB2312" w:eastAsia="仿宋_GB2312" w:cs="仿宋_GB2312"/>
          <w:b w:val="0"/>
          <w:bCs w:val="0"/>
          <w:color w:val="auto"/>
          <w:sz w:val="32"/>
          <w:szCs w:val="32"/>
          <w:highlight w:val="none"/>
          <w:lang w:eastAsia="zh-CN"/>
        </w:rPr>
        <w:t>组织全体领导干部深入学习相关内容，全面领会其精神内涵，确保学深悟透、知行合一。</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kern w:val="0"/>
          <w:sz w:val="32"/>
          <w:szCs w:val="32"/>
          <w:highlight w:val="none"/>
          <w:lang w:val="en-US" w:eastAsia="zh-CN" w:bidi="ar-SA"/>
        </w:rPr>
        <w:t>强化尾矿库督导检查，督促相关企业迅速按照清运设计完成清运工作。</w:t>
      </w:r>
    </w:p>
    <w:p w14:paraId="01C322C3">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outlineLvl w:val="9"/>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3.关于“学用结合不紧密”问题</w:t>
      </w:r>
    </w:p>
    <w:p w14:paraId="2ABA7851">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一</w:t>
      </w:r>
      <w:r>
        <w:rPr>
          <w:rFonts w:hint="eastAsia" w:ascii="仿宋_GB2312" w:hAnsi="仿宋_GB2312" w:eastAsia="仿宋_GB2312" w:cs="仿宋_GB2312"/>
          <w:b/>
          <w:bCs/>
          <w:color w:val="auto"/>
          <w:sz w:val="32"/>
          <w:szCs w:val="32"/>
          <w:highlight w:val="none"/>
        </w:rPr>
        <w:t>是</w:t>
      </w:r>
      <w:r>
        <w:rPr>
          <w:rFonts w:hint="eastAsia" w:ascii="仿宋_GB2312" w:hAnsi="仿宋_GB2312" w:eastAsia="仿宋_GB2312" w:cs="仿宋_GB2312"/>
          <w:color w:val="auto"/>
          <w:sz w:val="32"/>
          <w:szCs w:val="32"/>
          <w:highlight w:val="none"/>
        </w:rPr>
        <w:t>深化思想认识。认真组织学习</w:t>
      </w:r>
      <w:r>
        <w:rPr>
          <w:rFonts w:hint="eastAsia" w:ascii="仿宋_GB2312" w:hAnsi="仿宋_GB2312" w:eastAsia="仿宋_GB2312" w:cs="仿宋_GB2312"/>
          <w:color w:val="auto"/>
          <w:sz w:val="32"/>
          <w:szCs w:val="32"/>
          <w:highlight w:val="none"/>
          <w:lang w:eastAsia="zh-CN"/>
        </w:rPr>
        <w:t>党的最新理论及会议精神，</w:t>
      </w:r>
      <w:r>
        <w:rPr>
          <w:rFonts w:hint="eastAsia" w:ascii="仿宋_GB2312" w:hAnsi="仿宋_GB2312" w:eastAsia="仿宋_GB2312" w:cs="仿宋_GB2312"/>
          <w:color w:val="auto"/>
          <w:sz w:val="32"/>
          <w:szCs w:val="32"/>
          <w:highlight w:val="none"/>
        </w:rPr>
        <w:t>强化学习针对性，要求党员干部在学习过程中，必须紧密结合自身职能职责，深入思考如何将理论知识运用到实际工作中。</w:t>
      </w:r>
      <w:r>
        <w:rPr>
          <w:rFonts w:hint="eastAsia" w:ascii="仿宋_GB2312" w:hAnsi="仿宋_GB2312" w:eastAsia="仿宋_GB2312" w:cs="仿宋_GB2312"/>
          <w:b/>
          <w:bCs/>
          <w:color w:val="auto"/>
          <w:sz w:val="32"/>
          <w:szCs w:val="32"/>
          <w:highlight w:val="none"/>
        </w:rPr>
        <w:t>二是</w:t>
      </w:r>
      <w:r>
        <w:rPr>
          <w:rFonts w:hint="eastAsia" w:ascii="仿宋_GB2312" w:hAnsi="仿宋_GB2312" w:eastAsia="仿宋_GB2312" w:cs="仿宋_GB2312"/>
          <w:color w:val="auto"/>
          <w:sz w:val="32"/>
          <w:szCs w:val="32"/>
          <w:highlight w:val="none"/>
        </w:rPr>
        <w:t>严格审核把关。</w:t>
      </w:r>
      <w:r>
        <w:rPr>
          <w:rFonts w:hint="eastAsia" w:ascii="仿宋_GB2312" w:hAnsi="仿宋_GB2312" w:eastAsia="仿宋_GB2312" w:cs="仿宋_GB2312"/>
          <w:color w:val="auto"/>
          <w:sz w:val="32"/>
          <w:szCs w:val="32"/>
          <w:highlight w:val="none"/>
          <w:lang w:val="en-US" w:eastAsia="zh-CN"/>
        </w:rPr>
        <w:t>各党支部明确专人</w:t>
      </w:r>
      <w:r>
        <w:rPr>
          <w:rFonts w:hint="eastAsia" w:ascii="仿宋_GB2312" w:hAnsi="仿宋_GB2312" w:eastAsia="仿宋_GB2312" w:cs="仿宋_GB2312"/>
          <w:color w:val="auto"/>
          <w:sz w:val="32"/>
          <w:szCs w:val="32"/>
          <w:highlight w:val="none"/>
        </w:rPr>
        <w:t>对党员干部的研讨材料、心得体会进行严格审核，对未结合自身职能职责或内容来源网络、敷衍了事的，一律退回重写，确保学习材料的质量和真实性</w:t>
      </w:r>
      <w:r>
        <w:rPr>
          <w:rFonts w:hint="eastAsia" w:ascii="仿宋_GB2312" w:hAnsi="仿宋_GB2312" w:eastAsia="仿宋_GB2312" w:cs="仿宋_GB2312"/>
          <w:color w:val="auto"/>
          <w:sz w:val="32"/>
          <w:szCs w:val="32"/>
          <w:highlight w:val="none"/>
          <w:lang w:eastAsia="zh-CN"/>
        </w:rPr>
        <w:t>。</w:t>
      </w:r>
    </w:p>
    <w:p w14:paraId="4BCF7BB8">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outlineLvl w:val="9"/>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4.关于“意识形态工作落实不到位”问题</w:t>
      </w:r>
    </w:p>
    <w:p w14:paraId="6E420315">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outlineLvl w:val="9"/>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bCs/>
          <w:color w:val="auto"/>
          <w:sz w:val="32"/>
          <w:szCs w:val="32"/>
          <w:highlight w:val="none"/>
          <w:lang w:val="en-US" w:eastAsia="zh-CN"/>
        </w:rPr>
        <w:t>一是</w:t>
      </w:r>
      <w:r>
        <w:rPr>
          <w:rFonts w:hint="eastAsia" w:ascii="仿宋_GB2312" w:hAnsi="仿宋_GB2312" w:eastAsia="仿宋_GB2312" w:cs="仿宋_GB2312"/>
          <w:color w:val="auto"/>
          <w:sz w:val="32"/>
          <w:szCs w:val="32"/>
          <w:highlight w:val="none"/>
        </w:rPr>
        <w:t>修订完善《中共</w:t>
      </w:r>
      <w:r>
        <w:rPr>
          <w:rFonts w:hint="eastAsia" w:ascii="仿宋_GB2312" w:hAnsi="仿宋_GB2312" w:eastAsia="仿宋_GB2312" w:cs="仿宋_GB2312"/>
          <w:color w:val="auto"/>
          <w:sz w:val="32"/>
          <w:szCs w:val="32"/>
          <w:highlight w:val="none"/>
          <w:lang w:eastAsia="zh-CN"/>
        </w:rPr>
        <w:t>滦平县应急管理局委员会</w:t>
      </w:r>
      <w:r>
        <w:rPr>
          <w:rFonts w:hint="eastAsia" w:ascii="仿宋_GB2312" w:hAnsi="仿宋_GB2312" w:eastAsia="仿宋_GB2312" w:cs="仿宋_GB2312"/>
          <w:color w:val="auto"/>
          <w:sz w:val="32"/>
          <w:szCs w:val="32"/>
          <w:highlight w:val="none"/>
        </w:rPr>
        <w:t>“第一议题”学习制度》，由党</w:t>
      </w:r>
      <w:r>
        <w:rPr>
          <w:rFonts w:hint="eastAsia" w:ascii="仿宋_GB2312" w:hAnsi="仿宋_GB2312" w:eastAsia="仿宋_GB2312" w:cs="仿宋_GB2312"/>
          <w:color w:val="auto"/>
          <w:sz w:val="32"/>
          <w:szCs w:val="32"/>
          <w:highlight w:val="none"/>
          <w:lang w:eastAsia="zh-CN"/>
        </w:rPr>
        <w:t>政</w:t>
      </w:r>
      <w:r>
        <w:rPr>
          <w:rFonts w:hint="eastAsia" w:ascii="仿宋_GB2312" w:hAnsi="仿宋_GB2312" w:eastAsia="仿宋_GB2312" w:cs="仿宋_GB2312"/>
          <w:color w:val="auto"/>
          <w:sz w:val="32"/>
          <w:szCs w:val="32"/>
          <w:highlight w:val="none"/>
        </w:rPr>
        <w:t>办公室收集整理最新的学习资料，列出“第一议题”必学内容，做好学习规划</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确保学习的及时性和针对性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实现党</w:t>
      </w:r>
      <w:r>
        <w:rPr>
          <w:rFonts w:hint="eastAsia" w:ascii="仿宋_GB2312" w:hAnsi="仿宋_GB2312" w:eastAsia="仿宋_GB2312" w:cs="仿宋_GB2312"/>
          <w:color w:val="auto"/>
          <w:sz w:val="32"/>
          <w:szCs w:val="32"/>
          <w:highlight w:val="none"/>
          <w:lang w:eastAsia="zh-CN"/>
        </w:rPr>
        <w:t>委</w:t>
      </w:r>
      <w:r>
        <w:rPr>
          <w:rFonts w:hint="eastAsia" w:ascii="仿宋_GB2312" w:hAnsi="仿宋_GB2312" w:eastAsia="仿宋_GB2312" w:cs="仿宋_GB2312"/>
          <w:color w:val="auto"/>
          <w:sz w:val="32"/>
          <w:szCs w:val="32"/>
          <w:highlight w:val="none"/>
        </w:rPr>
        <w:t>会议政治理论学习全覆盖，切实提升党</w:t>
      </w:r>
      <w:r>
        <w:rPr>
          <w:rFonts w:hint="eastAsia" w:ascii="仿宋_GB2312" w:hAnsi="仿宋_GB2312" w:eastAsia="仿宋_GB2312" w:cs="仿宋_GB2312"/>
          <w:color w:val="auto"/>
          <w:sz w:val="32"/>
          <w:szCs w:val="32"/>
          <w:highlight w:val="none"/>
          <w:lang w:eastAsia="zh-CN"/>
        </w:rPr>
        <w:t>委</w:t>
      </w:r>
      <w:r>
        <w:rPr>
          <w:rFonts w:hint="eastAsia" w:ascii="仿宋_GB2312" w:hAnsi="仿宋_GB2312" w:eastAsia="仿宋_GB2312" w:cs="仿宋_GB2312"/>
          <w:color w:val="auto"/>
          <w:sz w:val="32"/>
          <w:szCs w:val="32"/>
          <w:highlight w:val="none"/>
        </w:rPr>
        <w:t>政治意识和政治站位。</w:t>
      </w:r>
      <w:r>
        <w:rPr>
          <w:rFonts w:hint="eastAsia" w:ascii="楷体_GB2312" w:hAnsi="楷体_GB2312" w:eastAsia="楷体_GB2312" w:cs="楷体_GB2312"/>
          <w:b/>
          <w:bCs/>
          <w:color w:val="auto"/>
          <w:sz w:val="32"/>
          <w:szCs w:val="32"/>
          <w:highlight w:val="none"/>
          <w:lang w:val="en-US" w:eastAsia="zh-CN"/>
        </w:rPr>
        <w:t>二是</w:t>
      </w:r>
      <w:r>
        <w:rPr>
          <w:rFonts w:hint="eastAsia" w:ascii="仿宋_GB2312" w:hAnsi="仿宋_GB2312" w:eastAsia="仿宋_GB2312" w:cs="仿宋_GB2312"/>
          <w:color w:val="auto"/>
          <w:sz w:val="32"/>
          <w:szCs w:val="32"/>
          <w:highlight w:val="none"/>
        </w:rPr>
        <w:t>严格落实意识形态工作</w:t>
      </w:r>
      <w:r>
        <w:rPr>
          <w:rFonts w:hint="eastAsia" w:ascii="仿宋_GB2312" w:hAnsi="仿宋_GB2312" w:eastAsia="仿宋_GB2312" w:cs="仿宋_GB2312"/>
          <w:color w:val="auto"/>
          <w:sz w:val="32"/>
          <w:szCs w:val="32"/>
          <w:highlight w:val="none"/>
          <w:lang w:eastAsia="zh-CN"/>
        </w:rPr>
        <w:t>责任制，修订意识形态工作领导小组，按照“一岗双责”的要求，将意识形态工作细化分解到各分管领域；</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lang w:eastAsia="zh-CN"/>
        </w:rPr>
        <w:t>是</w:t>
      </w:r>
      <w:r>
        <w:rPr>
          <w:rFonts w:hint="eastAsia" w:ascii="仿宋_GB2312" w:hAnsi="仿宋_GB2312" w:eastAsia="仿宋_GB2312" w:cs="仿宋_GB2312"/>
          <w:color w:val="auto"/>
          <w:sz w:val="32"/>
          <w:szCs w:val="32"/>
          <w:highlight w:val="none"/>
          <w:lang w:eastAsia="zh-CN"/>
        </w:rPr>
        <w:t>定期召开专题会议，提高领导班子对意识形态工作的思想认识和重视，严格按照相关规定要求研究部署意识形态工作；</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lang w:eastAsia="zh-CN"/>
        </w:rPr>
        <w:t>是</w:t>
      </w:r>
      <w:r>
        <w:rPr>
          <w:rFonts w:hint="eastAsia" w:ascii="仿宋_GB2312" w:hAnsi="仿宋_GB2312" w:eastAsia="仿宋_GB2312" w:cs="仿宋_GB2312"/>
          <w:color w:val="auto"/>
          <w:sz w:val="32"/>
          <w:szCs w:val="32"/>
          <w:highlight w:val="none"/>
        </w:rPr>
        <w:t>将意识形态、述法内容纳入述职报告，不断</w:t>
      </w:r>
      <w:r>
        <w:rPr>
          <w:rFonts w:hint="eastAsia" w:ascii="仿宋_GB2312" w:hAnsi="仿宋_GB2312" w:eastAsia="仿宋_GB2312" w:cs="仿宋_GB2312"/>
          <w:color w:val="auto"/>
          <w:sz w:val="32"/>
          <w:szCs w:val="32"/>
          <w:highlight w:val="none"/>
          <w:lang w:eastAsia="zh-CN"/>
        </w:rPr>
        <w:t>增强</w:t>
      </w:r>
      <w:r>
        <w:rPr>
          <w:rFonts w:hint="eastAsia" w:ascii="仿宋_GB2312" w:hAnsi="仿宋_GB2312" w:eastAsia="仿宋_GB2312" w:cs="仿宋_GB2312"/>
          <w:color w:val="auto"/>
          <w:sz w:val="32"/>
          <w:szCs w:val="32"/>
          <w:highlight w:val="none"/>
        </w:rPr>
        <w:t>领导班子抓意识形态工作的责任意识和使命担当。</w:t>
      </w:r>
    </w:p>
    <w:p w14:paraId="501B6128">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outlineLvl w:val="9"/>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5.关于“调查研究存在‘走过场’现象”问题</w:t>
      </w:r>
    </w:p>
    <w:p w14:paraId="718F546A">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一是</w:t>
      </w:r>
      <w:r>
        <w:rPr>
          <w:rFonts w:hint="eastAsia" w:ascii="仿宋_GB2312" w:hAnsi="仿宋_GB2312" w:eastAsia="仿宋_GB2312" w:cs="仿宋_GB2312"/>
          <w:color w:val="auto"/>
          <w:sz w:val="32"/>
          <w:szCs w:val="32"/>
          <w:highlight w:val="none"/>
          <w:lang w:val="en-US" w:eastAsia="zh-CN"/>
        </w:rPr>
        <w:t>通过应急管理干部网络学院、河北省应急管理科学研究院小程序等多个平台</w:t>
      </w:r>
      <w:r>
        <w:rPr>
          <w:rFonts w:hint="eastAsia" w:ascii="仿宋_GB2312" w:hAnsi="仿宋_GB2312" w:eastAsia="仿宋_GB2312" w:cs="仿宋_GB2312"/>
          <w:color w:val="auto"/>
          <w:sz w:val="32"/>
          <w:szCs w:val="32"/>
          <w:highlight w:val="none"/>
        </w:rPr>
        <w:t>加强</w:t>
      </w:r>
      <w:r>
        <w:rPr>
          <w:rFonts w:hint="eastAsia" w:ascii="仿宋_GB2312" w:hAnsi="仿宋_GB2312" w:eastAsia="仿宋_GB2312" w:cs="仿宋_GB2312"/>
          <w:color w:val="auto"/>
          <w:sz w:val="32"/>
          <w:szCs w:val="32"/>
          <w:highlight w:val="none"/>
          <w:lang w:val="en-US" w:eastAsia="zh-CN"/>
        </w:rPr>
        <w:t>应急管理</w:t>
      </w:r>
      <w:r>
        <w:rPr>
          <w:rFonts w:hint="eastAsia" w:ascii="仿宋_GB2312" w:hAnsi="仿宋_GB2312" w:eastAsia="仿宋_GB2312" w:cs="仿宋_GB2312"/>
          <w:color w:val="auto"/>
          <w:sz w:val="32"/>
          <w:szCs w:val="32"/>
          <w:highlight w:val="none"/>
        </w:rPr>
        <w:t>能力培训</w:t>
      </w:r>
      <w:r>
        <w:rPr>
          <w:rFonts w:hint="eastAsia" w:ascii="仿宋_GB2312" w:hAnsi="仿宋_GB2312" w:eastAsia="仿宋_GB2312" w:cs="仿宋_GB2312"/>
          <w:color w:val="auto"/>
          <w:sz w:val="32"/>
          <w:szCs w:val="32"/>
          <w:highlight w:val="none"/>
          <w:lang w:eastAsia="zh-CN"/>
        </w:rPr>
        <w:t>，提升干部的调研能力与专业水平。</w:t>
      </w:r>
      <w:r>
        <w:rPr>
          <w:rFonts w:hint="eastAsia" w:ascii="仿宋_GB2312" w:hAnsi="仿宋_GB2312" w:eastAsia="仿宋_GB2312" w:cs="仿宋_GB2312"/>
          <w:b/>
          <w:bCs/>
          <w:color w:val="auto"/>
          <w:sz w:val="32"/>
          <w:szCs w:val="32"/>
          <w:highlight w:val="none"/>
        </w:rPr>
        <w:t>二</w:t>
      </w:r>
      <w:r>
        <w:rPr>
          <w:rFonts w:hint="eastAsia" w:ascii="仿宋_GB2312" w:hAnsi="仿宋_GB2312" w:eastAsia="仿宋_GB2312" w:cs="仿宋_GB2312"/>
          <w:b/>
          <w:bCs/>
          <w:color w:val="auto"/>
          <w:sz w:val="32"/>
          <w:szCs w:val="32"/>
          <w:highlight w:val="none"/>
          <w:lang w:eastAsia="zh-CN"/>
        </w:rPr>
        <w:t>是</w:t>
      </w:r>
      <w:r>
        <w:rPr>
          <w:rFonts w:hint="eastAsia" w:ascii="仿宋_GB2312" w:hAnsi="仿宋_GB2312" w:eastAsia="仿宋_GB2312" w:cs="仿宋_GB2312"/>
          <w:color w:val="auto"/>
          <w:sz w:val="32"/>
          <w:szCs w:val="32"/>
          <w:highlight w:val="none"/>
        </w:rPr>
        <w:t>明确调研</w:t>
      </w:r>
      <w:r>
        <w:rPr>
          <w:rFonts w:hint="eastAsia" w:ascii="仿宋_GB2312" w:hAnsi="仿宋_GB2312" w:eastAsia="仿宋_GB2312" w:cs="仿宋_GB2312"/>
          <w:color w:val="auto"/>
          <w:sz w:val="32"/>
          <w:szCs w:val="32"/>
          <w:highlight w:val="none"/>
          <w:lang w:eastAsia="zh-CN"/>
        </w:rPr>
        <w:t>报告质量要求，</w:t>
      </w:r>
      <w:r>
        <w:rPr>
          <w:rFonts w:hint="eastAsia" w:ascii="仿宋_GB2312" w:hAnsi="仿宋_GB2312" w:eastAsia="仿宋_GB2312" w:cs="仿宋_GB2312"/>
          <w:color w:val="auto"/>
          <w:sz w:val="32"/>
          <w:szCs w:val="32"/>
          <w:highlight w:val="none"/>
        </w:rPr>
        <w:t>数据</w:t>
      </w:r>
      <w:r>
        <w:rPr>
          <w:rFonts w:hint="eastAsia" w:ascii="仿宋_GB2312" w:hAnsi="仿宋_GB2312" w:eastAsia="仿宋_GB2312" w:cs="仿宋_GB2312"/>
          <w:color w:val="auto"/>
          <w:sz w:val="32"/>
          <w:szCs w:val="32"/>
          <w:highlight w:val="none"/>
          <w:lang w:eastAsia="zh-CN"/>
        </w:rPr>
        <w:t>要有</w:t>
      </w:r>
      <w:r>
        <w:rPr>
          <w:rFonts w:hint="eastAsia" w:ascii="仿宋_GB2312" w:hAnsi="仿宋_GB2312" w:eastAsia="仿宋_GB2312" w:cs="仿宋_GB2312"/>
          <w:color w:val="auto"/>
          <w:sz w:val="32"/>
          <w:szCs w:val="32"/>
          <w:highlight w:val="none"/>
        </w:rPr>
        <w:t>时效</w:t>
      </w:r>
      <w:r>
        <w:rPr>
          <w:rFonts w:hint="eastAsia" w:ascii="仿宋_GB2312" w:hAnsi="仿宋_GB2312" w:eastAsia="仿宋_GB2312" w:cs="仿宋_GB2312"/>
          <w:color w:val="auto"/>
          <w:sz w:val="32"/>
          <w:szCs w:val="32"/>
          <w:highlight w:val="none"/>
          <w:lang w:eastAsia="zh-CN"/>
        </w:rPr>
        <w:t>性</w:t>
      </w:r>
      <w:r>
        <w:rPr>
          <w:rFonts w:hint="eastAsia" w:ascii="仿宋_GB2312" w:hAnsi="仿宋_GB2312" w:eastAsia="仿宋_GB2312" w:cs="仿宋_GB2312"/>
          <w:color w:val="auto"/>
          <w:sz w:val="32"/>
          <w:szCs w:val="32"/>
          <w:highlight w:val="none"/>
        </w:rPr>
        <w:t>，针对性建议需结合应急管理工作实际提出可操作的措施，杜绝以工作总结简单替代调研报告</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bCs/>
          <w:color w:val="auto"/>
          <w:sz w:val="32"/>
          <w:szCs w:val="32"/>
          <w:highlight w:val="none"/>
          <w:lang w:eastAsia="zh-CN"/>
        </w:rPr>
        <w:t>三是</w:t>
      </w:r>
      <w:r>
        <w:rPr>
          <w:rFonts w:hint="eastAsia" w:ascii="仿宋_GB2312" w:hAnsi="仿宋_GB2312" w:eastAsia="仿宋_GB2312" w:cs="仿宋_GB2312"/>
          <w:color w:val="auto"/>
          <w:sz w:val="32"/>
          <w:szCs w:val="32"/>
          <w:highlight w:val="none"/>
          <w:lang w:eastAsia="zh-CN"/>
        </w:rPr>
        <w:t>加强</w:t>
      </w:r>
      <w:r>
        <w:rPr>
          <w:rFonts w:hint="eastAsia" w:ascii="仿宋_GB2312" w:hAnsi="仿宋_GB2312" w:eastAsia="仿宋_GB2312" w:cs="仿宋_GB2312"/>
          <w:color w:val="auto"/>
          <w:sz w:val="32"/>
          <w:szCs w:val="32"/>
          <w:highlight w:val="none"/>
        </w:rPr>
        <w:t>调研材料审核把关</w:t>
      </w:r>
      <w:r>
        <w:rPr>
          <w:rFonts w:hint="eastAsia" w:ascii="仿宋_GB2312" w:hAnsi="仿宋_GB2312" w:eastAsia="仿宋_GB2312" w:cs="仿宋_GB2312"/>
          <w:color w:val="auto"/>
          <w:sz w:val="32"/>
          <w:szCs w:val="32"/>
          <w:highlight w:val="none"/>
          <w:lang w:eastAsia="zh-CN"/>
        </w:rPr>
        <w:t>，审核未通过的报告，需在7个工作日内修改完善并重新提交。</w:t>
      </w:r>
    </w:p>
    <w:p w14:paraId="18583AAC">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（三）在“</w:t>
      </w:r>
      <w:r>
        <w:rPr>
          <w:rFonts w:hint="eastAsia" w:ascii="楷体_GB2312" w:hAnsi="楷体_GB2312" w:eastAsia="楷体_GB2312" w:cs="楷体_GB2312"/>
          <w:b/>
          <w:bCs/>
          <w:color w:val="auto"/>
          <w:sz w:val="32"/>
          <w:szCs w:val="32"/>
          <w:highlight w:val="none"/>
          <w:lang w:val="en-US" w:eastAsia="zh-CN"/>
        </w:rPr>
        <w:t>安全生产监管责任落实不到位，隐患排查整改有短板</w:t>
      </w:r>
      <w:r>
        <w:rPr>
          <w:rFonts w:hint="eastAsia" w:ascii="楷体_GB2312" w:hAnsi="楷体_GB2312" w:eastAsia="楷体_GB2312" w:cs="楷体_GB2312"/>
          <w:b/>
          <w:bCs/>
          <w:color w:val="000000"/>
          <w:kern w:val="0"/>
          <w:sz w:val="32"/>
          <w:szCs w:val="32"/>
          <w:lang w:val="en-US" w:eastAsia="zh-CN" w:bidi="ar"/>
        </w:rPr>
        <w:t>”</w:t>
      </w:r>
      <w:r>
        <w:rPr>
          <w:rFonts w:hint="eastAsia" w:ascii="楷体_GB2312" w:hAnsi="楷体_GB2312" w:eastAsia="楷体_GB2312" w:cs="楷体_GB2312"/>
          <w:b/>
          <w:bCs/>
          <w:color w:val="auto"/>
          <w:sz w:val="32"/>
          <w:szCs w:val="32"/>
          <w:highlight w:val="none"/>
          <w:lang w:val="en-US" w:eastAsia="zh-CN"/>
        </w:rPr>
        <w:t>方面</w:t>
      </w:r>
      <w:r>
        <w:rPr>
          <w:rFonts w:hint="eastAsia" w:ascii="楷体_GB2312" w:hAnsi="楷体_GB2312" w:eastAsia="楷体_GB2312" w:cs="楷体_GB2312"/>
          <w:b/>
          <w:bCs/>
          <w:color w:val="000000"/>
          <w:kern w:val="0"/>
          <w:sz w:val="32"/>
          <w:szCs w:val="32"/>
          <w:lang w:val="en-US" w:eastAsia="zh-CN" w:bidi="ar"/>
        </w:rPr>
        <w:t xml:space="preserve">      </w:t>
      </w:r>
    </w:p>
    <w:p w14:paraId="5F6C688E">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outlineLvl w:val="9"/>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6.关于“审核把关不严谨，监管履职有欠缺”问题</w:t>
      </w:r>
    </w:p>
    <w:p w14:paraId="21FB4A33">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kern w:val="2"/>
          <w:sz w:val="32"/>
          <w:szCs w:val="32"/>
          <w:highlight w:val="none"/>
          <w:lang w:val="en-US" w:eastAsia="zh-CN" w:bidi="ar-SA"/>
        </w:rPr>
        <w:t>为高效推进复工复产审核工作，围绕“提质、规范、尽责”目标，扎实做好两项举措：</w:t>
      </w:r>
      <w:r>
        <w:rPr>
          <w:rFonts w:hint="eastAsia" w:ascii="仿宋_GB2312" w:hAnsi="仿宋_GB2312" w:eastAsia="仿宋_GB2312" w:cs="仿宋_GB2312"/>
          <w:b/>
          <w:bCs/>
          <w:color w:val="auto"/>
          <w:kern w:val="2"/>
          <w:sz w:val="32"/>
          <w:szCs w:val="32"/>
          <w:highlight w:val="none"/>
          <w:lang w:val="en-US" w:eastAsia="zh-CN" w:bidi="ar-SA"/>
        </w:rPr>
        <w:t>一是</w:t>
      </w:r>
      <w:r>
        <w:rPr>
          <w:rFonts w:hint="eastAsia" w:ascii="仿宋_GB2312" w:hAnsi="仿宋_GB2312" w:eastAsia="仿宋_GB2312" w:cs="仿宋_GB2312"/>
          <w:b w:val="0"/>
          <w:bCs w:val="0"/>
          <w:color w:val="auto"/>
          <w:kern w:val="2"/>
          <w:sz w:val="32"/>
          <w:szCs w:val="32"/>
          <w:highlight w:val="none"/>
          <w:lang w:val="en-US" w:eastAsia="zh-CN" w:bidi="ar-SA"/>
        </w:rPr>
        <w:t>优化审核流程，细化复工复产材料核对清单，让审核标准更清晰、操作更便捷；</w:t>
      </w:r>
      <w:r>
        <w:rPr>
          <w:rFonts w:hint="eastAsia" w:ascii="仿宋_GB2312" w:hAnsi="仿宋_GB2312" w:eastAsia="仿宋_GB2312" w:cs="仿宋_GB2312"/>
          <w:b/>
          <w:bCs/>
          <w:color w:val="auto"/>
          <w:kern w:val="2"/>
          <w:sz w:val="32"/>
          <w:szCs w:val="32"/>
          <w:highlight w:val="none"/>
          <w:lang w:val="en-US" w:eastAsia="zh-CN" w:bidi="ar-SA"/>
        </w:rPr>
        <w:t>二是</w:t>
      </w:r>
      <w:r>
        <w:rPr>
          <w:rFonts w:hint="eastAsia" w:ascii="仿宋_GB2312" w:hAnsi="仿宋_GB2312" w:eastAsia="仿宋_GB2312" w:cs="仿宋_GB2312"/>
          <w:b w:val="0"/>
          <w:bCs w:val="0"/>
          <w:color w:val="auto"/>
          <w:kern w:val="2"/>
          <w:sz w:val="32"/>
          <w:szCs w:val="32"/>
          <w:highlight w:val="none"/>
          <w:lang w:val="en-US" w:eastAsia="zh-CN" w:bidi="ar-SA"/>
        </w:rPr>
        <w:t>引入</w:t>
      </w:r>
      <w:r>
        <w:rPr>
          <w:rFonts w:hint="eastAsia" w:ascii="仿宋_GB2312" w:hAnsi="仿宋_GB2312" w:eastAsia="仿宋_GB2312" w:cs="仿宋_GB2312"/>
          <w:b w:val="0"/>
          <w:bCs/>
          <w:kern w:val="2"/>
          <w:sz w:val="32"/>
          <w:szCs w:val="32"/>
          <w:lang w:val="en-US" w:eastAsia="zh-CN" w:bidi="ar-SA"/>
        </w:rPr>
        <w:t>专家专项审核环节，严格按照上级复工复产文件要求，通过专家审核把关，</w:t>
      </w:r>
      <w:r>
        <w:rPr>
          <w:rFonts w:hint="eastAsia" w:ascii="仿宋_GB2312" w:hAnsi="仿宋_GB2312" w:eastAsia="仿宋_GB2312" w:cs="仿宋_GB2312"/>
          <w:b w:val="0"/>
          <w:bCs w:val="0"/>
          <w:color w:val="auto"/>
          <w:kern w:val="2"/>
          <w:sz w:val="32"/>
          <w:szCs w:val="32"/>
          <w:highlight w:val="none"/>
          <w:lang w:val="en-US" w:eastAsia="zh-CN" w:bidi="ar-SA"/>
        </w:rPr>
        <w:t>以多维度校验提升审核质量。</w:t>
      </w:r>
    </w:p>
    <w:p w14:paraId="11F346FA">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outlineLvl w:val="9"/>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7.关于“风险防控能力薄弱，隐患治理成效不明显”问题</w:t>
      </w:r>
    </w:p>
    <w:p w14:paraId="199F4145">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完善事故隐患奖励举报措施，强化事故隐患举报奖励宣传，通过张贴奖励举报公示牌、强化培训等手段，严打瞒报行为，压实企业主体责任。</w:t>
      </w:r>
    </w:p>
    <w:p w14:paraId="7FCA07B5">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firstLine="632" w:firstLineChars="200"/>
        <w:jc w:val="left"/>
        <w:outlineLvl w:val="9"/>
        <w:rPr>
          <w:rFonts w:hint="default"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8.关于“监督检查质效不高，问题存在‘纸面整改’</w:t>
      </w:r>
      <w:r>
        <w:rPr>
          <w:rFonts w:hint="default" w:ascii="仿宋_GB2312" w:hAnsi="宋体" w:eastAsia="仿宋_GB2312" w:cs="仿宋_GB2312"/>
          <w:b/>
          <w:bCs/>
          <w:color w:val="000000"/>
          <w:kern w:val="0"/>
          <w:sz w:val="32"/>
          <w:szCs w:val="32"/>
          <w:lang w:val="en-US" w:eastAsia="zh-CN" w:bidi="ar"/>
        </w:rPr>
        <w:t>”</w:t>
      </w:r>
      <w:r>
        <w:rPr>
          <w:rFonts w:hint="eastAsia" w:ascii="仿宋_GB2312" w:hAnsi="宋体" w:eastAsia="仿宋_GB2312" w:cs="仿宋_GB2312"/>
          <w:b/>
          <w:bCs/>
          <w:color w:val="000000"/>
          <w:kern w:val="0"/>
          <w:sz w:val="32"/>
          <w:szCs w:val="32"/>
          <w:lang w:val="en-US" w:eastAsia="zh-CN" w:bidi="ar"/>
        </w:rPr>
        <w:t>问题</w:t>
      </w:r>
    </w:p>
    <w:p w14:paraId="15EFB783">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bCs w:val="0"/>
          <w:color w:val="auto"/>
          <w:sz w:val="32"/>
          <w:szCs w:val="32"/>
          <w:highlight w:val="none"/>
        </w:rPr>
        <w:t>一是</w:t>
      </w:r>
      <w:r>
        <w:rPr>
          <w:rFonts w:hint="eastAsia" w:ascii="仿宋_GB2312" w:hAnsi="仿宋_GB2312" w:eastAsia="仿宋_GB2312" w:cs="仿宋_GB2312"/>
          <w:b w:val="0"/>
          <w:bCs/>
          <w:color w:val="auto"/>
          <w:sz w:val="32"/>
          <w:szCs w:val="32"/>
          <w:highlight w:val="none"/>
        </w:rPr>
        <w:t>压实企业主体责任，聚焦问题根源治理，督促企业对重复出现的安全隐患开展深度复盘分析，制定并落实针对性管控措施，从制度、流程层面杜绝隐患反复；</w:t>
      </w:r>
      <w:r>
        <w:rPr>
          <w:rFonts w:hint="eastAsia" w:ascii="仿宋_GB2312" w:hAnsi="仿宋_GB2312" w:eastAsia="仿宋_GB2312" w:cs="仿宋_GB2312"/>
          <w:b/>
          <w:bCs w:val="0"/>
          <w:color w:val="auto"/>
          <w:sz w:val="32"/>
          <w:szCs w:val="32"/>
          <w:highlight w:val="none"/>
        </w:rPr>
        <w:t>二是</w:t>
      </w:r>
      <w:r>
        <w:rPr>
          <w:rFonts w:hint="eastAsia" w:ascii="仿宋_GB2312" w:hAnsi="仿宋_GB2312" w:eastAsia="仿宋_GB2312" w:cs="仿宋_GB2312"/>
          <w:b w:val="0"/>
          <w:bCs/>
          <w:color w:val="auto"/>
          <w:sz w:val="32"/>
          <w:szCs w:val="32"/>
          <w:highlight w:val="none"/>
        </w:rPr>
        <w:t>建强局执法队伍，以能力提升为核心，常态化组织执法人员参加业务培训，系统强化法律法规运用、隐患排查辨识等核心能力，全面提升执法队伍的专业素养与规范执法水平；</w:t>
      </w:r>
      <w:r>
        <w:rPr>
          <w:rFonts w:hint="eastAsia" w:ascii="仿宋_GB2312" w:hAnsi="仿宋_GB2312" w:eastAsia="仿宋_GB2312" w:cs="仿宋_GB2312"/>
          <w:b/>
          <w:bCs w:val="0"/>
          <w:color w:val="auto"/>
          <w:sz w:val="32"/>
          <w:szCs w:val="32"/>
          <w:highlight w:val="none"/>
        </w:rPr>
        <w:t>三是</w:t>
      </w:r>
      <w:r>
        <w:rPr>
          <w:rFonts w:hint="eastAsia" w:ascii="仿宋_GB2312" w:hAnsi="仿宋_GB2312" w:eastAsia="仿宋_GB2312" w:cs="仿宋_GB2312"/>
          <w:b w:val="0"/>
          <w:bCs/>
          <w:color w:val="auto"/>
          <w:sz w:val="32"/>
          <w:szCs w:val="32"/>
          <w:highlight w:val="none"/>
        </w:rPr>
        <w:t>深化矿山企业监管，加密日常巡查频次、细化监管颗粒度，建立隐患动态排查台账，确保安全隐患早发现、早预警、早消除，切实守住矿山安全生产底线。</w:t>
      </w:r>
    </w:p>
    <w:p w14:paraId="25B78240">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lang w:val="en-US" w:eastAsia="zh-CN"/>
        </w:rPr>
        <w:t>四</w:t>
      </w:r>
      <w:r>
        <w:rPr>
          <w:rFonts w:hint="eastAsia" w:ascii="楷体_GB2312" w:hAnsi="楷体_GB2312" w:eastAsia="楷体_GB2312" w:cs="楷体_GB2312"/>
          <w:b/>
          <w:bCs/>
          <w:color w:val="auto"/>
          <w:sz w:val="32"/>
          <w:szCs w:val="32"/>
          <w:highlight w:val="none"/>
          <w:lang w:eastAsia="zh-CN"/>
        </w:rPr>
        <w:t>）在“</w:t>
      </w:r>
      <w:r>
        <w:rPr>
          <w:rFonts w:hint="eastAsia" w:ascii="楷体_GB2312" w:hAnsi="楷体_GB2312" w:eastAsia="楷体_GB2312" w:cs="楷体_GB2312"/>
          <w:b/>
          <w:bCs/>
          <w:color w:val="auto"/>
          <w:sz w:val="32"/>
          <w:szCs w:val="32"/>
          <w:highlight w:val="none"/>
          <w:lang w:val="en-US" w:eastAsia="zh-CN"/>
        </w:rPr>
        <w:t>牵头作用发挥不充分，安全生产综合协调机制运行不畅</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lang w:val="en-US" w:eastAsia="zh-CN"/>
        </w:rPr>
        <w:t>方面</w:t>
      </w:r>
    </w:p>
    <w:p w14:paraId="6FB1B914">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9.关于“督办制度不完善，常规工作不够到位”问题</w:t>
      </w:r>
    </w:p>
    <w:p w14:paraId="6438A2F8">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为基层减负工作要求，元旦、国庆等重要时间节点不再收集乡镇日报，要求各乡镇做好规范存档备查。针对各乡镇档案整理质量参差不齐问题，加强对各乡镇的帮扶指导，进一步完善安全生产各项档案管理，提升乡镇档案管理水平。</w:t>
      </w:r>
    </w:p>
    <w:p w14:paraId="259F10C6">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10.关于“统筹指导不够精准，工作实效性不强”问题</w:t>
      </w:r>
    </w:p>
    <w:p w14:paraId="7085E345">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sz w:val="32"/>
          <w:szCs w:val="32"/>
          <w:highlight w:val="none"/>
          <w:lang w:val="en-US" w:eastAsia="zh-CN"/>
        </w:rPr>
        <w:t>县安委办结合季节气候特点、辖区产业特点、行业风险实际，制定《滦平县安全生产和自然灾害风险提示》《滦平县安全生产隐患排查整治集中攻坚工作方案》等安全生产工作方案，按照方案要求定期汇总隐患排查整治台账，督促整改措施落实，防范化解区域性、行业性安全风险，全面提升全县安全生产管理水平。</w:t>
      </w:r>
    </w:p>
    <w:p w14:paraId="69921C45">
      <w:pPr>
        <w:pStyle w:val="6"/>
        <w:keepNext w:val="0"/>
        <w:keepLines w:val="0"/>
        <w:pageBreakBefore w:val="0"/>
        <w:widowControl w:val="0"/>
        <w:numPr>
          <w:ilvl w:val="0"/>
          <w:numId w:val="0"/>
        </w:numPr>
        <w:shd w:val="clear"/>
        <w:kinsoku/>
        <w:wordWrap/>
        <w:overflowPunct/>
        <w:topLinePunct w:val="0"/>
        <w:autoSpaceDE/>
        <w:autoSpaceDN/>
        <w:bidi w:val="0"/>
        <w:adjustRightInd/>
        <w:snapToGrid/>
        <w:spacing w:after="0" w:line="554" w:lineRule="exact"/>
        <w:ind w:left="0" w:leftChars="0" w:firstLine="632" w:firstLineChars="200"/>
        <w:jc w:val="left"/>
        <w:textAlignment w:val="auto"/>
        <w:outlineLvl w:val="9"/>
        <w:rPr>
          <w:rFonts w:hint="eastAsia" w:ascii="仿宋_GB2312" w:hAnsi="宋体" w:eastAsia="仿宋_GB2312" w:cs="仿宋_GB2312"/>
          <w:b/>
          <w:bCs/>
          <w:color w:val="000000"/>
          <w:kern w:val="0"/>
          <w:sz w:val="32"/>
          <w:szCs w:val="32"/>
          <w:lang w:val="en-US" w:eastAsia="zh-CN" w:bidi="ar"/>
        </w:rPr>
      </w:pPr>
      <w:r>
        <w:rPr>
          <w:rFonts w:hint="default" w:ascii="仿宋_GB2312" w:hAnsi="宋体" w:eastAsia="仿宋_GB2312" w:cs="仿宋_GB2312"/>
          <w:b/>
          <w:bCs/>
          <w:color w:val="000000"/>
          <w:kern w:val="0"/>
          <w:sz w:val="32"/>
          <w:szCs w:val="32"/>
          <w:lang w:val="en-US" w:eastAsia="zh-CN" w:bidi="ar"/>
        </w:rPr>
        <w:t>11.</w:t>
      </w:r>
      <w:r>
        <w:rPr>
          <w:rFonts w:hint="eastAsia" w:ascii="仿宋_GB2312" w:hAnsi="宋体" w:eastAsia="仿宋_GB2312" w:cs="仿宋_GB2312"/>
          <w:b/>
          <w:bCs/>
          <w:color w:val="000000"/>
          <w:kern w:val="0"/>
          <w:sz w:val="32"/>
          <w:szCs w:val="32"/>
          <w:lang w:val="en-US" w:eastAsia="zh-CN" w:bidi="ar"/>
        </w:rPr>
        <w:t>关于“部门协同机制运转不畅，联合监管合力不足”问题</w:t>
      </w:r>
    </w:p>
    <w:p w14:paraId="667771D2">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color w:val="auto"/>
          <w:sz w:val="32"/>
          <w:szCs w:val="32"/>
          <w:highlight w:val="none"/>
          <w:lang w:val="en-US" w:eastAsia="zh-CN"/>
        </w:rPr>
        <w:t>针对预案演练问题牵头建立“点对点台账清单”，明确各县直部门应急预案修订、演练开展的责任清单与时间节点，</w:t>
      </w:r>
      <w:r>
        <w:rPr>
          <w:rFonts w:hint="eastAsia" w:ascii="仿宋_GB2312" w:hAnsi="仿宋_GB2312" w:eastAsia="仿宋_GB2312" w:cs="仿宋_GB2312"/>
          <w:b w:val="0"/>
          <w:bCs w:val="0"/>
          <w:color w:val="auto"/>
          <w:kern w:val="0"/>
          <w:sz w:val="32"/>
          <w:szCs w:val="32"/>
          <w:highlight w:val="none"/>
          <w:lang w:val="en-US" w:eastAsia="zh-CN" w:bidi="ar-SA"/>
        </w:rPr>
        <w:t>对为开展演练单位的预案演练情况重点调度；协</w:t>
      </w:r>
      <w:r>
        <w:rPr>
          <w:rFonts w:hint="eastAsia" w:ascii="仿宋_GB2312" w:hAnsi="仿宋_GB2312" w:eastAsia="仿宋_GB2312" w:cs="仿宋_GB2312"/>
          <w:color w:val="auto"/>
          <w:sz w:val="32"/>
          <w:szCs w:val="32"/>
          <w:highlight w:val="none"/>
          <w:lang w:val="en-US" w:eastAsia="zh-CN"/>
        </w:rPr>
        <w:t>调解决县级各部门专项预案的印发等问题，确保部门间信息互通</w:t>
      </w:r>
      <w:r>
        <w:rPr>
          <w:rFonts w:hint="eastAsia" w:ascii="仿宋_GB2312" w:hAnsi="仿宋_GB2312" w:eastAsia="仿宋_GB2312" w:cs="仿宋_GB2312"/>
          <w:b w:val="0"/>
          <w:bCs w:val="0"/>
          <w:color w:val="auto"/>
          <w:kern w:val="0"/>
          <w:sz w:val="32"/>
          <w:szCs w:val="32"/>
          <w:highlight w:val="none"/>
          <w:lang w:val="en-US" w:eastAsia="zh-CN" w:bidi="ar-SA"/>
        </w:rPr>
        <w:t>、行</w:t>
      </w:r>
      <w:r>
        <w:rPr>
          <w:rFonts w:hint="eastAsia" w:ascii="仿宋_GB2312" w:hAnsi="仿宋_GB2312" w:eastAsia="仿宋_GB2312" w:cs="仿宋_GB2312"/>
          <w:color w:val="auto"/>
          <w:sz w:val="32"/>
          <w:szCs w:val="32"/>
          <w:highlight w:val="none"/>
          <w:lang w:val="en-US" w:eastAsia="zh-CN"/>
        </w:rPr>
        <w:t>动同步。</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eastAsia="zh-CN"/>
        </w:rPr>
        <w:t>依据《滦平县安全生产监管职责清单》，</w:t>
      </w:r>
      <w:r>
        <w:rPr>
          <w:rFonts w:hint="eastAsia" w:ascii="仿宋_GB2312" w:hAnsi="仿宋_GB2312" w:eastAsia="仿宋_GB2312" w:cs="仿宋_GB2312"/>
          <w:b w:val="0"/>
          <w:bCs w:val="0"/>
          <w:color w:val="auto"/>
          <w:kern w:val="0"/>
          <w:sz w:val="32"/>
          <w:szCs w:val="32"/>
          <w:highlight w:val="none"/>
          <w:lang w:val="en-US" w:eastAsia="zh-CN" w:bidi="ar-SA"/>
        </w:rPr>
        <w:t>应急管理局与相关部门监管职责加强专项沟通，明确职责边界与协同要点，联合开展安全执法检查。推动应急管理与相关部门在监管领域的信息</w:t>
      </w:r>
      <w:r>
        <w:rPr>
          <w:rFonts w:hint="eastAsia" w:ascii="仿宋_GB2312" w:hAnsi="仿宋_GB2312" w:eastAsia="仿宋_GB2312" w:cs="仿宋_GB2312"/>
          <w:color w:val="auto"/>
          <w:sz w:val="32"/>
          <w:szCs w:val="32"/>
          <w:highlight w:val="none"/>
          <w:lang w:val="en-US" w:eastAsia="zh-CN"/>
        </w:rPr>
        <w:t>实时共享、执法同步联动及经验深度交流，初步凝聚起专业化监管合力。</w:t>
      </w:r>
    </w:p>
    <w:p w14:paraId="5DFE5F16">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firstLine="632" w:firstLineChars="200"/>
        <w:jc w:val="left"/>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kern w:val="2"/>
          <w:sz w:val="32"/>
          <w:szCs w:val="32"/>
          <w:lang w:val="en-US" w:eastAsia="zh-CN" w:bidi="ar-SA"/>
        </w:rPr>
        <w:t>（五）在“</w:t>
      </w:r>
      <w:r>
        <w:rPr>
          <w:rFonts w:hint="eastAsia" w:ascii="楷体_GB2312" w:hAnsi="楷体_GB2312" w:eastAsia="楷体_GB2312" w:cs="楷体_GB2312"/>
          <w:b/>
          <w:bCs/>
          <w:color w:val="auto"/>
          <w:sz w:val="32"/>
          <w:szCs w:val="32"/>
          <w:highlight w:val="none"/>
          <w:lang w:val="en-US" w:eastAsia="zh-CN"/>
        </w:rPr>
        <w:t>推动应急救援体系建设不够有力，风险防控能力亟待提升</w:t>
      </w:r>
      <w:r>
        <w:rPr>
          <w:rFonts w:hint="eastAsia" w:ascii="楷体_GB2312" w:hAnsi="楷体_GB2312" w:eastAsia="楷体_GB2312" w:cs="楷体_GB2312"/>
          <w:b/>
          <w:bCs/>
          <w:color w:val="auto"/>
          <w:kern w:val="2"/>
          <w:sz w:val="32"/>
          <w:szCs w:val="32"/>
          <w:lang w:val="en-US" w:eastAsia="zh-CN" w:bidi="ar-SA"/>
        </w:rPr>
        <w:t>”</w:t>
      </w:r>
      <w:r>
        <w:rPr>
          <w:rFonts w:hint="eastAsia" w:ascii="楷体_GB2312" w:hAnsi="楷体_GB2312" w:eastAsia="楷体_GB2312" w:cs="楷体_GB2312"/>
          <w:b/>
          <w:bCs/>
          <w:color w:val="auto"/>
          <w:sz w:val="32"/>
          <w:szCs w:val="32"/>
          <w:highlight w:val="none"/>
          <w:lang w:val="en-US" w:eastAsia="zh-CN"/>
        </w:rPr>
        <w:t>方面</w:t>
      </w:r>
    </w:p>
    <w:p w14:paraId="0043E58A">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default" w:ascii="仿宋_GB2312" w:hAnsi="仿宋_GB2312" w:eastAsia="仿宋_GB2312" w:cs="仿宋_GB2312"/>
          <w:b/>
          <w:bCs/>
          <w:color w:val="auto"/>
          <w:sz w:val="32"/>
          <w:szCs w:val="32"/>
          <w:highlight w:val="none"/>
          <w:lang w:val="en-US" w:eastAsia="zh-CN"/>
        </w:rPr>
        <w:t>12.</w:t>
      </w:r>
      <w:r>
        <w:rPr>
          <w:rFonts w:hint="eastAsia" w:ascii="仿宋_GB2312" w:hAnsi="仿宋_GB2312" w:eastAsia="仿宋_GB2312" w:cs="仿宋_GB2312"/>
          <w:b/>
          <w:bCs/>
          <w:color w:val="auto"/>
          <w:sz w:val="32"/>
          <w:szCs w:val="32"/>
          <w:highlight w:val="none"/>
          <w:lang w:val="en-US" w:eastAsia="zh-CN"/>
        </w:rPr>
        <w:t>关于“人员管理不到位，救援力量被削弱”问题</w:t>
      </w:r>
    </w:p>
    <w:p w14:paraId="455BEC7F">
      <w:pPr>
        <w:pStyle w:val="5"/>
        <w:keepNext w:val="0"/>
        <w:keepLines w:val="0"/>
        <w:pageBreakBefore w:val="0"/>
        <w:numPr>
          <w:ilvl w:val="0"/>
          <w:numId w:val="0"/>
        </w:numPr>
        <w:shd w:val="clear"/>
        <w:kinsoku/>
        <w:wordWrap/>
        <w:overflowPunct/>
        <w:topLinePunct w:val="0"/>
        <w:autoSpaceDE/>
        <w:autoSpaceDN/>
        <w:bidi w:val="0"/>
        <w:snapToGrid/>
        <w:spacing w:after="0" w:line="554" w:lineRule="exact"/>
        <w:ind w:left="0" w:leftChars="0" w:firstLine="632" w:firstLineChars="200"/>
        <w:jc w:val="left"/>
        <w:outlineLvl w:val="9"/>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b w:val="0"/>
          <w:bCs w:val="0"/>
          <w:color w:val="auto"/>
          <w:sz w:val="32"/>
          <w:szCs w:val="32"/>
          <w:highlight w:val="none"/>
          <w:lang w:val="en-US" w:eastAsia="zh-CN"/>
        </w:rPr>
        <w:t>完善招聘管理制度。明确新入职人员年龄不高于 35 周岁，优先招录掌握防灭火技术、应急救援知识的专业人才，从源头优化队伍专业结构；</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val="en-US" w:eastAsia="zh-CN"/>
        </w:rPr>
        <w:t>建立人员动态管理机制。每季度更新大队人员岗位信息，核查人员适配情况，确保专职人员聚焦大队核心业务，切实提升队伍整体活力与应急响应能力；</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sz w:val="32"/>
          <w:szCs w:val="32"/>
          <w:highlight w:val="none"/>
          <w:lang w:val="en-US" w:eastAsia="zh-CN"/>
        </w:rPr>
        <w:t>为统筹一线救援与综合保障，在原有10个中队基础上设立信息支援中队、后勤保障中队，统筹调配人员充实上述中队，专职负责火情监控、财务保障、宣传及文字材料等工作，优化力量配置、强化支撑保障。</w:t>
      </w:r>
    </w:p>
    <w:p w14:paraId="46BF4E2B">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default" w:ascii="仿宋_GB2312" w:hAnsi="仿宋_GB2312" w:eastAsia="仿宋_GB2312" w:cs="仿宋_GB2312"/>
          <w:b/>
          <w:bCs/>
          <w:color w:val="auto"/>
          <w:sz w:val="32"/>
          <w:szCs w:val="32"/>
          <w:highlight w:val="none"/>
          <w:lang w:val="en-US" w:eastAsia="zh-CN"/>
        </w:rPr>
        <w:t>13.</w:t>
      </w:r>
      <w:r>
        <w:rPr>
          <w:rFonts w:hint="eastAsia" w:ascii="仿宋_GB2312" w:hAnsi="仿宋_GB2312" w:eastAsia="仿宋_GB2312" w:cs="仿宋_GB2312"/>
          <w:b/>
          <w:bCs/>
          <w:color w:val="auto"/>
          <w:sz w:val="32"/>
          <w:szCs w:val="32"/>
          <w:highlight w:val="none"/>
          <w:lang w:val="en-US" w:eastAsia="zh-CN"/>
        </w:rPr>
        <w:t>关于“突发事件保障能力不充分，县乡应急救援物资储备不足”问题</w:t>
      </w:r>
    </w:p>
    <w:p w14:paraId="7F37A147">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lang w:val="en-US" w:eastAsia="zh-CN"/>
        </w:rPr>
        <w:t>是</w:t>
      </w:r>
      <w:r>
        <w:rPr>
          <w:rFonts w:hint="eastAsia" w:ascii="仿宋_GB2312" w:hAnsi="仿宋_GB2312" w:eastAsia="仿宋_GB2312" w:cs="仿宋_GB2312"/>
          <w:b w:val="0"/>
          <w:bCs w:val="0"/>
          <w:color w:val="auto"/>
          <w:sz w:val="32"/>
          <w:szCs w:val="32"/>
          <w:highlight w:val="none"/>
          <w:lang w:val="en-US" w:eastAsia="zh-CN"/>
        </w:rPr>
        <w:t>县应急管理局对照“满足Ⅱ级应急响应、提出救灾物资需求和动用文案，要求满足帐篷5000—7500顶（规格</w:t>
      </w:r>
      <w:r>
        <w:rPr>
          <w:rFonts w:hint="default" w:ascii="仿宋_GB2312" w:hAnsi="仿宋_GB2312" w:eastAsia="仿宋_GB2312" w:cs="仿宋_GB2312"/>
          <w:b w:val="0"/>
          <w:bCs w:val="0"/>
          <w:color w:val="auto"/>
          <w:sz w:val="32"/>
          <w:szCs w:val="32"/>
          <w:highlight w:val="none"/>
          <w:lang w:val="en-US" w:eastAsia="zh-CN"/>
        </w:rPr>
        <w:t>4m*3m</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容纳4人</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棉被、棉大衣</w:t>
      </w:r>
      <w:r>
        <w:rPr>
          <w:rFonts w:hint="eastAsia" w:ascii="仿宋_GB2312" w:hAnsi="仿宋_GB2312" w:eastAsia="仿宋_GB2312" w:cs="仿宋_GB2312"/>
          <w:b w:val="0"/>
          <w:bCs w:val="0"/>
          <w:color w:val="auto"/>
          <w:sz w:val="32"/>
          <w:szCs w:val="32"/>
          <w:highlight w:val="none"/>
          <w:lang w:val="en-US" w:eastAsia="zh-CN"/>
        </w:rPr>
        <w:t>2万—3万</w:t>
      </w:r>
      <w:r>
        <w:rPr>
          <w:rFonts w:hint="default" w:ascii="仿宋_GB2312" w:hAnsi="仿宋_GB2312" w:eastAsia="仿宋_GB2312" w:cs="仿宋_GB2312"/>
          <w:b w:val="0"/>
          <w:bCs w:val="0"/>
          <w:color w:val="auto"/>
          <w:sz w:val="32"/>
          <w:szCs w:val="32"/>
          <w:highlight w:val="none"/>
          <w:lang w:val="en-US" w:eastAsia="zh-CN"/>
        </w:rPr>
        <w:t>条</w:t>
      </w:r>
      <w:r>
        <w:rPr>
          <w:rFonts w:hint="eastAsia" w:ascii="仿宋_GB2312" w:hAnsi="仿宋_GB2312" w:eastAsia="仿宋_GB2312" w:cs="仿宋_GB2312"/>
          <w:b w:val="0"/>
          <w:bCs w:val="0"/>
          <w:color w:val="auto"/>
          <w:sz w:val="32"/>
          <w:szCs w:val="32"/>
          <w:highlight w:val="none"/>
          <w:lang w:val="en-US" w:eastAsia="zh-CN"/>
        </w:rPr>
        <w:t>”，组织编制救灾物资储备计划，县发展改革局负责收储、轮换和日常管理，按程序做好调出、运送。</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val="en-US" w:eastAsia="zh-CN"/>
        </w:rPr>
        <w:t>定期督促县发展和改革局实施救灾物资采购，满足Ⅱ级</w:t>
      </w:r>
      <w:r>
        <w:rPr>
          <w:rFonts w:hint="eastAsia" w:ascii="仿宋_GB2312" w:hAnsi="仿宋_GB2312" w:eastAsia="仿宋_GB2312" w:cs="仿宋_GB2312"/>
          <w:b w:val="0"/>
          <w:bCs w:val="0"/>
          <w:color w:val="auto"/>
          <w:sz w:val="32"/>
          <w:szCs w:val="32"/>
          <w:highlight w:val="none"/>
          <w:lang w:eastAsia="zh-CN"/>
        </w:rPr>
        <w:t>应急响应标准，</w:t>
      </w:r>
      <w:r>
        <w:rPr>
          <w:rFonts w:hint="eastAsia" w:ascii="仿宋_GB2312" w:hAnsi="仿宋_GB2312" w:eastAsia="仿宋_GB2312" w:cs="仿宋_GB2312"/>
          <w:b w:val="0"/>
          <w:bCs w:val="0"/>
          <w:color w:val="auto"/>
          <w:sz w:val="32"/>
          <w:szCs w:val="32"/>
          <w:highlight w:val="none"/>
          <w:lang w:val="en-US" w:eastAsia="zh-CN"/>
        </w:rPr>
        <w:t xml:space="preserve">需采购大衣、棉被和帐篷。 </w:t>
      </w:r>
    </w:p>
    <w:p w14:paraId="4E63D465">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default" w:ascii="仿宋_GB2312" w:hAnsi="仿宋_GB2312" w:eastAsia="仿宋_GB2312" w:cs="仿宋_GB2312"/>
          <w:b/>
          <w:bCs/>
          <w:color w:val="auto"/>
          <w:sz w:val="32"/>
          <w:szCs w:val="32"/>
          <w:highlight w:val="none"/>
          <w:lang w:val="en-US" w:eastAsia="zh-CN"/>
        </w:rPr>
        <w:t>14.</w:t>
      </w:r>
      <w:r>
        <w:rPr>
          <w:rFonts w:hint="eastAsia" w:ascii="仿宋_GB2312" w:hAnsi="仿宋_GB2312" w:eastAsia="仿宋_GB2312" w:cs="仿宋_GB2312"/>
          <w:b/>
          <w:bCs/>
          <w:color w:val="auto"/>
          <w:sz w:val="32"/>
          <w:szCs w:val="32"/>
          <w:highlight w:val="none"/>
          <w:lang w:val="en-US" w:eastAsia="zh-CN"/>
        </w:rPr>
        <w:t>关于“对乡镇防火责任的督导落实不到位”问题</w:t>
      </w:r>
    </w:p>
    <w:p w14:paraId="08762FA0">
      <w:pPr>
        <w:pStyle w:val="5"/>
        <w:keepNext w:val="0"/>
        <w:keepLines w:val="0"/>
        <w:pageBreakBefore w:val="0"/>
        <w:widowControl w:val="0"/>
        <w:numPr>
          <w:ilvl w:val="0"/>
          <w:numId w:val="0"/>
        </w:numPr>
        <w:shd w:val="clear"/>
        <w:kinsoku/>
        <w:wordWrap/>
        <w:overflowPunct/>
        <w:topLinePunct w:val="0"/>
        <w:autoSpaceDE/>
        <w:autoSpaceDN/>
        <w:bidi w:val="0"/>
        <w:adjustRightInd w:val="0"/>
        <w:snapToGrid/>
        <w:spacing w:after="0" w:line="554" w:lineRule="exact"/>
        <w:ind w:left="0" w:leftChars="0" w:firstLine="632" w:firstLineChars="200"/>
        <w:jc w:val="left"/>
        <w:textAlignment w:val="baseline"/>
        <w:outlineLvl w:val="9"/>
        <w:rPr>
          <w:rFonts w:hint="default" w:cs="仿宋_GB2312"/>
          <w:color w:val="auto"/>
          <w:sz w:val="32"/>
          <w:szCs w:val="32"/>
          <w:highlight w:val="none"/>
          <w:lang w:val="en-US" w:eastAsia="zh-CN"/>
        </w:rPr>
      </w:pPr>
      <w:r>
        <w:rPr>
          <w:rFonts w:hint="eastAsia" w:ascii="楷体_GB2312" w:hAnsi="楷体_GB2312" w:eastAsia="楷体_GB2312" w:cs="楷体_GB2312"/>
          <w:b/>
          <w:bCs/>
          <w:color w:val="auto"/>
          <w:kern w:val="0"/>
          <w:sz w:val="32"/>
          <w:szCs w:val="32"/>
          <w:highlight w:val="none"/>
          <w:lang w:val="en-US" w:eastAsia="zh-CN" w:bidi="ar-SA"/>
        </w:rPr>
        <w:t>一</w:t>
      </w:r>
      <w:r>
        <w:rPr>
          <w:rFonts w:hint="eastAsia" w:ascii="仿宋_GB2312" w:hAnsi="仿宋_GB2312" w:eastAsia="仿宋_GB2312" w:cs="仿宋_GB2312"/>
          <w:b/>
          <w:bCs/>
          <w:color w:val="auto"/>
          <w:sz w:val="32"/>
          <w:szCs w:val="32"/>
          <w:highlight w:val="none"/>
          <w:lang w:val="en-US" w:eastAsia="zh-CN"/>
        </w:rPr>
        <w:t>是</w:t>
      </w:r>
      <w:r>
        <w:rPr>
          <w:rFonts w:hint="eastAsia" w:ascii="仿宋_GB2312" w:hAnsi="仿宋_GB2312" w:eastAsia="仿宋_GB2312" w:cs="仿宋_GB2312"/>
          <w:b w:val="0"/>
          <w:bCs w:val="0"/>
          <w:color w:val="auto"/>
          <w:sz w:val="32"/>
          <w:szCs w:val="32"/>
          <w:highlight w:val="none"/>
          <w:lang w:eastAsia="zh-CN"/>
        </w:rPr>
        <w:t>严格护林员队伍管理。督促乡镇、林草部门依据《滦平县林草资源管护人员管理办法》，强化护林员队伍日常监管，对履职不到位人员，严格按照《管理办法》规定予以处罚，压实管护责任。</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eastAsia="zh-CN"/>
        </w:rPr>
        <w:t>深化秋冬防宣传与设施保障。进入秋冬防期后，要求各乡镇以防火宣传周活动为抓手，集中时间、人员开展防火宣传教育；及时维修维护村级大喇叭，确保在规定时段正常播放防火宣传语音，筑牢群防群控防线。</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sz w:val="32"/>
          <w:szCs w:val="32"/>
          <w:highlight w:val="none"/>
          <w:lang w:val="en-US" w:eastAsia="zh-CN"/>
        </w:rPr>
        <w:t>加强全县林火监测系统管理，遇有火情坚决执行“1、3、5火情推送打击”机制。进入秋冬季防火期，计划派出两个督导组加强对红旗镇、金沟屯镇、张百湾镇火源管控、防火宣传教育、巡查巡护、野外违规用火打击、隐患排查整改、应急处置等方面工作督促指导力度。</w:t>
      </w:r>
    </w:p>
    <w:p w14:paraId="2C222941">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（六）在“统筹“双控”机制建设力度不足，隐患排查管控存在短板”方面</w:t>
      </w:r>
    </w:p>
    <w:p w14:paraId="22560F47">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textAlignment w:val="auto"/>
        <w:outlineLvl w:val="9"/>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15.关于“‘双控’风险辨识不全面，隐患排查存在盲区</w:t>
      </w:r>
      <w:r>
        <w:rPr>
          <w:rFonts w:hint="default"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问题</w:t>
      </w:r>
    </w:p>
    <w:p w14:paraId="77A8B75C">
      <w:pPr>
        <w:pStyle w:val="6"/>
        <w:keepNext w:val="0"/>
        <w:keepLines w:val="0"/>
        <w:pageBreakBefore w:val="0"/>
        <w:shd w:val="clear"/>
        <w:kinsoku/>
        <w:wordWrap/>
        <w:overflowPunct/>
        <w:topLinePunct w:val="0"/>
        <w:autoSpaceDE/>
        <w:autoSpaceDN/>
        <w:bidi w:val="0"/>
        <w:snapToGrid/>
        <w:spacing w:line="554" w:lineRule="exact"/>
        <w:ind w:leftChars="0" w:firstLine="632" w:firstLineChars="200"/>
        <w:jc w:val="left"/>
        <w:outlineLvl w:val="9"/>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b w:val="0"/>
          <w:bCs w:val="0"/>
          <w:color w:val="auto"/>
          <w:kern w:val="2"/>
          <w:sz w:val="32"/>
          <w:szCs w:val="32"/>
          <w:highlight w:val="none"/>
          <w:lang w:val="en-US" w:eastAsia="zh-CN" w:bidi="ar-SA"/>
        </w:rPr>
        <w:t>督促企业完善双控机制建设档案，将液化石油气使用环节纳入风险辨识范畴。经系统辨识，共梳理出风险点11条，同步排查并整改消除隐患2条，确保风险可控、隐患清零。</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kern w:val="2"/>
          <w:sz w:val="32"/>
          <w:szCs w:val="32"/>
          <w:highlight w:val="none"/>
          <w:lang w:val="en-US" w:eastAsia="zh-CN" w:bidi="ar-SA"/>
        </w:rPr>
        <w:t>明确要求企业严格落实双控机制建设自评制度，按规定每年完成一次全面自评，及时总结问题、优化措施，持续提升机制运行质效。</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sz w:val="32"/>
          <w:szCs w:val="32"/>
          <w:highlight w:val="none"/>
          <w:lang w:val="en-US" w:eastAsia="zh-CN"/>
        </w:rPr>
        <w:t>将企业双控机制建设风险辨识培训融入日常，帮助企业增强风险防控意识。针对相关企业风险已进行全面辨识，并已设置岗位风险告知卡，同时开展定期巡查工作，确保风险动态可控。</w:t>
      </w:r>
    </w:p>
    <w:p w14:paraId="006DE058">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16.关于“指导风险管控措施不深入，隐患治理缺乏针对性”问题</w:t>
      </w:r>
    </w:p>
    <w:p w14:paraId="0CBBC6CD">
      <w:pPr>
        <w:pStyle w:val="6"/>
        <w:keepNext w:val="0"/>
        <w:keepLines w:val="0"/>
        <w:pageBreakBefore w:val="0"/>
        <w:widowControl w:val="0"/>
        <w:numPr>
          <w:ilvl w:val="0"/>
          <w:numId w:val="0"/>
        </w:numPr>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b w:val="0"/>
          <w:bCs w:val="0"/>
          <w:color w:val="auto"/>
          <w:sz w:val="32"/>
          <w:szCs w:val="32"/>
          <w:highlight w:val="none"/>
          <w:lang w:eastAsia="zh-CN"/>
        </w:rPr>
        <w:t>针对</w:t>
      </w:r>
      <w:r>
        <w:rPr>
          <w:rFonts w:hint="eastAsia" w:ascii="仿宋_GB2312" w:hAnsi="仿宋_GB2312" w:eastAsia="仿宋_GB2312" w:cs="仿宋_GB2312"/>
          <w:b w:val="0"/>
          <w:bCs w:val="0"/>
          <w:color w:val="auto"/>
          <w:sz w:val="32"/>
          <w:szCs w:val="32"/>
          <w:highlight w:val="none"/>
          <w:lang w:val="en-US" w:eastAsia="zh-CN"/>
        </w:rPr>
        <w:t>相关企业</w:t>
      </w:r>
      <w:r>
        <w:rPr>
          <w:rFonts w:hint="eastAsia" w:ascii="仿宋_GB2312" w:hAnsi="仿宋_GB2312" w:eastAsia="仿宋_GB2312" w:cs="仿宋_GB2312"/>
          <w:b w:val="0"/>
          <w:bCs w:val="0"/>
          <w:color w:val="auto"/>
          <w:sz w:val="32"/>
          <w:szCs w:val="32"/>
          <w:highlight w:val="none"/>
          <w:lang w:eastAsia="zh-CN"/>
        </w:rPr>
        <w:t>原料区料仓风险点，精准开展专项帮扶指导工作。全面梳理生产环节潜在风险，同步制定针对性整改方案，跟踪指导企业落实防控措施，确保隐患闭环整改、生产安全稳定。</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val="en-US" w:eastAsia="zh-CN"/>
        </w:rPr>
        <w:t>对全县15家重点企业开展专项隐患排查及整改工作，推动企业完善双控体系，助力企业筑牢安全生产防线。</w:t>
      </w:r>
    </w:p>
    <w:p w14:paraId="7ED40943">
      <w:pPr>
        <w:pStyle w:val="6"/>
        <w:keepNext w:val="0"/>
        <w:keepLines w:val="0"/>
        <w:pageBreakBefore w:val="0"/>
        <w:numPr>
          <w:ilvl w:val="0"/>
          <w:numId w:val="0"/>
        </w:numPr>
        <w:shd w:val="clear"/>
        <w:kinsoku/>
        <w:wordWrap/>
        <w:overflowPunct/>
        <w:topLinePunct w:val="0"/>
        <w:autoSpaceDE/>
        <w:autoSpaceDN/>
        <w:bidi w:val="0"/>
        <w:snapToGrid/>
        <w:spacing w:after="0" w:line="554" w:lineRule="exact"/>
        <w:ind w:left="0" w:leftChars="0" w:firstLine="632" w:firstLineChars="200"/>
        <w:jc w:val="left"/>
        <w:outlineLvl w:val="9"/>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17.关于“</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b/>
          <w:bCs/>
          <w:color w:val="auto"/>
          <w:kern w:val="2"/>
          <w:sz w:val="32"/>
          <w:szCs w:val="32"/>
          <w:highlight w:val="none"/>
          <w:lang w:val="en-US" w:eastAsia="zh-CN" w:bidi="ar-SA"/>
        </w:rPr>
        <w:t>双控</w:t>
      </w:r>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bCs/>
          <w:color w:val="auto"/>
          <w:kern w:val="2"/>
          <w:sz w:val="32"/>
          <w:szCs w:val="32"/>
          <w:highlight w:val="none"/>
          <w:lang w:val="en-US" w:eastAsia="zh-CN" w:bidi="ar-SA"/>
        </w:rPr>
        <w:t>机制与实际工作结合不紧，制度执行不到位”问题</w:t>
      </w:r>
    </w:p>
    <w:p w14:paraId="4FAF8AE2">
      <w:pPr>
        <w:pStyle w:val="4"/>
        <w:keepNext w:val="0"/>
        <w:keepLines w:val="0"/>
        <w:pageBreakBefore w:val="0"/>
        <w:widowControl w:val="0"/>
        <w:shd w:val="clear"/>
        <w:kinsoku/>
        <w:wordWrap/>
        <w:overflowPunct/>
        <w:topLinePunct w:val="0"/>
        <w:autoSpaceDE/>
        <w:autoSpaceDN/>
        <w:bidi w:val="0"/>
        <w:snapToGrid/>
        <w:spacing w:after="0" w:line="554" w:lineRule="exact"/>
        <w:ind w:left="0" w:leftChars="0" w:firstLine="632" w:firstLineChars="200"/>
        <w:jc w:val="left"/>
        <w:outlineLvl w:val="9"/>
        <w:rPr>
          <w:rFonts w:hint="default"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b w:val="0"/>
          <w:bCs w:val="0"/>
          <w:color w:val="auto"/>
          <w:sz w:val="32"/>
          <w:szCs w:val="32"/>
          <w:highlight w:val="none"/>
          <w:lang w:val="en-US" w:eastAsia="zh-CN"/>
        </w:rPr>
        <w:t>严格督促企业对照双控机制建设排查清单，对氨制冷机房开展系统性、全覆盖的隐患排查工作，确保排查流程规范、标准统一，无遗漏、无盲区；</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val="en-US" w:eastAsia="zh-CN"/>
        </w:rPr>
        <w:t>企业严格依据清单逐项核查，通过清单化管理精准锁定氨制冷机房关键环节风险点，确保风险排查到位。</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sz w:val="32"/>
          <w:szCs w:val="32"/>
          <w:highlight w:val="none"/>
          <w:lang w:val="en-US" w:eastAsia="zh-CN"/>
        </w:rPr>
        <w:t>在日常监管执法过程中，督促各企业按照各层级隐患排查清单，认真开展隐患排查及整改工作，</w:t>
      </w:r>
      <w:r>
        <w:rPr>
          <w:rFonts w:hint="eastAsia" w:ascii="仿宋_GB2312" w:hAnsi="仿宋_GB2312" w:eastAsia="仿宋_GB2312" w:cs="仿宋_GB2312"/>
          <w:i w:val="0"/>
          <w:iCs w:val="0"/>
          <w:caps w:val="0"/>
          <w:color w:val="auto"/>
          <w:spacing w:val="0"/>
          <w:sz w:val="32"/>
          <w:szCs w:val="32"/>
          <w:shd w:val="clear" w:fill="FFFFFF"/>
        </w:rPr>
        <w:t>同步建立“隐患排查 - 整改落实 - 销号闭环”台账，确保隐患整改</w:t>
      </w:r>
      <w:r>
        <w:rPr>
          <w:rFonts w:hint="eastAsia" w:ascii="仿宋_GB2312" w:hAnsi="仿宋_GB2312" w:eastAsia="仿宋_GB2312" w:cs="仿宋_GB2312"/>
          <w:i w:val="0"/>
          <w:iCs w:val="0"/>
          <w:caps w:val="0"/>
          <w:color w:val="auto"/>
          <w:spacing w:val="0"/>
          <w:sz w:val="32"/>
          <w:szCs w:val="32"/>
          <w:shd w:val="clear" w:fill="FFFFFF"/>
          <w:lang w:val="en-US" w:eastAsia="zh-CN"/>
        </w:rPr>
        <w:t>到位</w:t>
      </w:r>
      <w:r>
        <w:rPr>
          <w:rFonts w:hint="eastAsia" w:cs="仿宋_GB2312"/>
          <w:i w:val="0"/>
          <w:iCs w:val="0"/>
          <w:caps w:val="0"/>
          <w:color w:val="auto"/>
          <w:spacing w:val="0"/>
          <w:sz w:val="32"/>
          <w:szCs w:val="32"/>
          <w:shd w:val="clear" w:fill="FFFFFF"/>
          <w:lang w:eastAsia="zh-CN"/>
        </w:rPr>
        <w:t>；</w:t>
      </w:r>
      <w:r>
        <w:rPr>
          <w:rFonts w:hint="eastAsia" w:ascii="仿宋_GB2312" w:hAnsi="仿宋_GB2312" w:eastAsia="仿宋_GB2312" w:cs="仿宋_GB2312"/>
          <w:b w:val="0"/>
          <w:bCs/>
          <w:color w:val="auto"/>
          <w:kern w:val="2"/>
          <w:sz w:val="32"/>
          <w:szCs w:val="32"/>
          <w:lang w:val="en-US" w:eastAsia="zh-CN" w:bidi="ar-SA"/>
        </w:rPr>
        <w:t>督促指导企业每年根据企业实际岗位风险，开展</w:t>
      </w:r>
      <w:r>
        <w:rPr>
          <w:rFonts w:hint="eastAsia" w:cs="仿宋_GB2312"/>
          <w:b w:val="0"/>
          <w:bCs/>
          <w:color w:val="auto"/>
          <w:kern w:val="2"/>
          <w:sz w:val="32"/>
          <w:szCs w:val="32"/>
          <w:lang w:val="en-US" w:eastAsia="zh-CN" w:bidi="ar-SA"/>
        </w:rPr>
        <w:t>“</w:t>
      </w:r>
      <w:r>
        <w:rPr>
          <w:rFonts w:hint="eastAsia" w:ascii="仿宋_GB2312" w:hAnsi="仿宋_GB2312" w:eastAsia="仿宋_GB2312" w:cs="仿宋_GB2312"/>
          <w:b w:val="0"/>
          <w:bCs/>
          <w:color w:val="auto"/>
          <w:kern w:val="2"/>
          <w:sz w:val="32"/>
          <w:szCs w:val="32"/>
          <w:lang w:val="en-US" w:eastAsia="zh-CN" w:bidi="ar-SA"/>
        </w:rPr>
        <w:t>双控”机制建设，辨识风险隐患，并制定防范措施。</w:t>
      </w:r>
    </w:p>
    <w:p w14:paraId="34D73C12">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0" w:afterAutospacing="0" w:line="554" w:lineRule="exact"/>
        <w:ind w:leftChars="0" w:firstLine="632" w:firstLineChars="200"/>
        <w:jc w:val="left"/>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lang w:val="en-US" w:eastAsia="zh-CN"/>
        </w:rPr>
        <w:t>七</w:t>
      </w:r>
      <w:r>
        <w:rPr>
          <w:rFonts w:hint="eastAsia" w:ascii="楷体_GB2312" w:hAnsi="楷体_GB2312" w:eastAsia="楷体_GB2312" w:cs="楷体_GB2312"/>
          <w:b/>
          <w:bCs/>
          <w:color w:val="auto"/>
          <w:sz w:val="32"/>
          <w:szCs w:val="32"/>
          <w:highlight w:val="none"/>
          <w:lang w:eastAsia="zh-CN"/>
        </w:rPr>
        <w:t>）在</w:t>
      </w:r>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val="en-US" w:eastAsia="zh-CN"/>
        </w:rPr>
        <w:t>安全行政执法领导监督不到位，执法规范化、实效性不足”方面</w:t>
      </w:r>
    </w:p>
    <w:p w14:paraId="6D5502EE">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18.关于“执法主动性有欠缺”问题。</w:t>
      </w:r>
    </w:p>
    <w:p w14:paraId="3884661A">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通过加强局执法队伍建设，组织执法人员参加业务培训，提高执法人员的专业素质和执法水平，提升执法主动性。力争2025年年底上级交办案件占比降至10%及以下。</w:t>
      </w:r>
    </w:p>
    <w:p w14:paraId="1AEE6F0F">
      <w:pPr>
        <w:pStyle w:val="6"/>
        <w:keepNext w:val="0"/>
        <w:keepLines w:val="0"/>
        <w:pageBreakBefore w:val="0"/>
        <w:numPr>
          <w:ilvl w:val="0"/>
          <w:numId w:val="0"/>
        </w:numPr>
        <w:shd w:val="clear"/>
        <w:kinsoku/>
        <w:wordWrap/>
        <w:overflowPunct/>
        <w:topLinePunct w:val="0"/>
        <w:autoSpaceDE/>
        <w:autoSpaceDN/>
        <w:bidi w:val="0"/>
        <w:snapToGrid/>
        <w:spacing w:after="0" w:line="554" w:lineRule="exact"/>
        <w:ind w:leftChars="0" w:firstLine="632" w:firstLineChars="200"/>
        <w:jc w:val="left"/>
        <w:outlineLvl w:val="9"/>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19.关于“执法全过程记录落实不到位”问题。</w:t>
      </w:r>
    </w:p>
    <w:p w14:paraId="0BF50175">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color w:val="auto"/>
          <w:kern w:val="0"/>
          <w:sz w:val="32"/>
          <w:szCs w:val="32"/>
          <w:highlight w:val="none"/>
          <w:lang w:val="en-US" w:eastAsia="zh-CN" w:bidi="ar-SA"/>
        </w:rPr>
        <w:t>印发《滦平县应急管理局关于严格规范做好安全生产行政执法的提示》（滦应急〔2025〕46号），明确行政检查主体、行政检查方式，严格控制检查频次，规范行政检查程序，避免重复检查、随意检查，切实减轻企业负担，保障执法公平公正。</w:t>
      </w: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color w:val="auto"/>
          <w:sz w:val="32"/>
          <w:szCs w:val="32"/>
          <w:highlight w:val="none"/>
          <w:lang w:val="en-US" w:eastAsia="zh-CN"/>
        </w:rPr>
        <w:t>召开党委会专题会议，聚焦“执法记录仪使用率低、执法记录缺失易引发廉政风险”“案卷电子证据归档率仅12%”等突出问题，确保思想认识到位、责任传导到底。</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color w:val="auto"/>
          <w:sz w:val="32"/>
          <w:szCs w:val="32"/>
          <w:highlight w:val="none"/>
          <w:lang w:val="en-US" w:eastAsia="zh-CN"/>
        </w:rPr>
        <w:t>严格落实《行政执法音像记录管理制度》，明确执法人员“凡执法必记录、记录必完整”的刚性要求，执法全过程必须同步规范录音录像，杜绝“应录未录”“记录碎片化”问题。</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color w:val="auto"/>
          <w:sz w:val="32"/>
          <w:szCs w:val="32"/>
          <w:highlight w:val="none"/>
          <w:lang w:val="en-US" w:eastAsia="zh-CN"/>
        </w:rPr>
        <w:t>对需作为证据使用的音像资料，要求执法人员在执法结束后1个工作日内完成光盘刻录，经执法人员自查、股室负责人审核确认后，随案卷同步归档。</w:t>
      </w:r>
    </w:p>
    <w:p w14:paraId="62117885">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20.关于“基层执法末端落实有欠缺”问题。</w:t>
      </w:r>
    </w:p>
    <w:p w14:paraId="646A349C">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根据滦平县人民政府《关于印发〈滦平县下放乡镇和街道行政处罚事项清单（2024年版）〉的通知》要求，自2025年1月1日起，对2020年、2021年期间已下放至乡镇（街道）的应急管理领域行政处罚事项实施调整：乡镇（街道）不再承接</w:t>
      </w:r>
      <w:r>
        <w:rPr>
          <w:rFonts w:hint="eastAsia" w:ascii="仿宋_GB2312" w:hAnsi="仿宋_GB2312" w:eastAsia="仿宋_GB2312" w:cs="仿宋_GB2312"/>
          <w:b w:val="0"/>
          <w:bCs w:val="0"/>
          <w:color w:val="auto"/>
          <w:sz w:val="32"/>
          <w:szCs w:val="32"/>
          <w:highlight w:val="none"/>
          <w:lang w:val="en-US" w:eastAsia="zh-CN"/>
        </w:rPr>
        <w:t>应急管理</w:t>
      </w:r>
      <w:r>
        <w:rPr>
          <w:rFonts w:hint="eastAsia" w:ascii="仿宋_GB2312" w:hAnsi="仿宋_GB2312" w:eastAsia="仿宋_GB2312" w:cs="仿宋_GB2312"/>
          <w:b w:val="0"/>
          <w:bCs w:val="0"/>
          <w:color w:val="auto"/>
          <w:sz w:val="32"/>
          <w:szCs w:val="32"/>
          <w:highlight w:val="none"/>
          <w:lang w:eastAsia="zh-CN"/>
        </w:rPr>
        <w:t>领域原赋权的行政处罚事项，相关事项由县级主管部门依法履行相应执法职责。</w:t>
      </w:r>
    </w:p>
    <w:p w14:paraId="3838BD3C">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21.关于“对执法案卷把关不严谨”问题。</w:t>
      </w:r>
    </w:p>
    <w:p w14:paraId="59E7D1F3">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eastAsia="zh-CN"/>
        </w:rPr>
        <w:t>一是</w:t>
      </w:r>
      <w:r>
        <w:rPr>
          <w:rFonts w:hint="eastAsia" w:ascii="仿宋_GB2312" w:hAnsi="仿宋_GB2312" w:eastAsia="仿宋_GB2312" w:cs="仿宋_GB2312"/>
          <w:color w:val="auto"/>
          <w:sz w:val="32"/>
          <w:szCs w:val="32"/>
          <w:highlight w:val="none"/>
          <w:lang w:eastAsia="zh-CN"/>
        </w:rPr>
        <w:t>核查</w:t>
      </w:r>
      <w:r>
        <w:rPr>
          <w:rFonts w:hint="eastAsia" w:ascii="仿宋_GB2312" w:hAnsi="仿宋_GB2312" w:eastAsia="仿宋_GB2312" w:cs="仿宋_GB2312"/>
          <w:color w:val="auto"/>
          <w:sz w:val="32"/>
          <w:szCs w:val="32"/>
          <w:highlight w:val="none"/>
          <w:lang w:val="en-US" w:eastAsia="zh-CN"/>
        </w:rPr>
        <w:t>执法案卷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查找是否存在日期漏填、归档号不全、页码未标注等，</w:t>
      </w:r>
      <w:r>
        <w:rPr>
          <w:rFonts w:hint="eastAsia" w:ascii="仿宋_GB2312" w:hAnsi="仿宋_GB2312" w:eastAsia="仿宋_GB2312" w:cs="仿宋_GB2312"/>
          <w:color w:val="auto"/>
          <w:sz w:val="32"/>
          <w:szCs w:val="32"/>
          <w:highlight w:val="none"/>
          <w:lang w:eastAsia="zh-CN"/>
        </w:rPr>
        <w:t>确保</w:t>
      </w:r>
      <w:r>
        <w:rPr>
          <w:rFonts w:hint="eastAsia" w:ascii="仿宋_GB2312" w:hAnsi="仿宋_GB2312" w:eastAsia="仿宋_GB2312" w:cs="仿宋_GB2312"/>
          <w:color w:val="auto"/>
          <w:sz w:val="32"/>
          <w:szCs w:val="32"/>
          <w:highlight w:val="none"/>
          <w:lang w:val="en-US" w:eastAsia="zh-CN"/>
        </w:rPr>
        <w:t>案卷不存在常识性错误。</w:t>
      </w:r>
      <w:r>
        <w:rPr>
          <w:rFonts w:hint="eastAsia" w:ascii="仿宋_GB2312" w:hAnsi="仿宋_GB2312" w:eastAsia="仿宋_GB2312" w:cs="仿宋_GB2312"/>
          <w:b/>
          <w:bCs/>
          <w:color w:val="auto"/>
          <w:sz w:val="32"/>
          <w:szCs w:val="32"/>
          <w:highlight w:val="none"/>
          <w:lang w:eastAsia="zh-CN"/>
        </w:rPr>
        <w:t>二是</w:t>
      </w:r>
      <w:r>
        <w:rPr>
          <w:rFonts w:hint="eastAsia" w:ascii="仿宋_GB2312" w:hAnsi="仿宋_GB2312" w:eastAsia="仿宋_GB2312" w:cs="仿宋_GB2312"/>
          <w:color w:val="auto"/>
          <w:sz w:val="32"/>
          <w:szCs w:val="32"/>
          <w:highlight w:val="none"/>
          <w:lang w:eastAsia="zh-CN"/>
        </w:rPr>
        <w:t>督促各执法股室</w:t>
      </w: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lang w:eastAsia="zh-CN"/>
        </w:rPr>
        <w:t>对整体案卷</w:t>
      </w:r>
      <w:r>
        <w:rPr>
          <w:rFonts w:hint="eastAsia" w:ascii="仿宋_GB2312" w:hAnsi="仿宋_GB2312" w:eastAsia="仿宋_GB2312" w:cs="仿宋_GB2312"/>
          <w:color w:val="auto"/>
          <w:sz w:val="32"/>
          <w:szCs w:val="32"/>
          <w:highlight w:val="none"/>
          <w:lang w:val="en-US" w:eastAsia="zh-CN"/>
        </w:rPr>
        <w:t>进行</w:t>
      </w:r>
      <w:r>
        <w:rPr>
          <w:rFonts w:hint="eastAsia" w:ascii="仿宋_GB2312" w:hAnsi="仿宋_GB2312" w:eastAsia="仿宋_GB2312" w:cs="仿宋_GB2312"/>
          <w:color w:val="auto"/>
          <w:sz w:val="32"/>
          <w:szCs w:val="32"/>
          <w:highlight w:val="none"/>
          <w:lang w:eastAsia="zh-CN"/>
        </w:rPr>
        <w:t>审阅，按</w:t>
      </w:r>
      <w:r>
        <w:rPr>
          <w:rFonts w:hint="eastAsia" w:ascii="仿宋_GB2312" w:hAnsi="仿宋_GB2312" w:eastAsia="仿宋_GB2312" w:cs="仿宋_GB2312"/>
          <w:color w:val="auto"/>
          <w:sz w:val="32"/>
          <w:szCs w:val="32"/>
          <w:highlight w:val="none"/>
          <w:lang w:val="en-US" w:eastAsia="zh-CN"/>
        </w:rPr>
        <w:t>照《河北省行政处罚案卷评查标准》《承德市应急管理系统行政处罚案卷制作样本》</w:t>
      </w:r>
      <w:r>
        <w:rPr>
          <w:rFonts w:hint="eastAsia" w:ascii="仿宋_GB2312" w:hAnsi="仿宋_GB2312" w:eastAsia="仿宋_GB2312" w:cs="仿宋_GB2312"/>
          <w:color w:val="auto"/>
          <w:sz w:val="32"/>
          <w:szCs w:val="32"/>
          <w:highlight w:val="none"/>
          <w:lang w:eastAsia="zh-CN"/>
        </w:rPr>
        <w:t>要求统一归档</w:t>
      </w:r>
      <w:r>
        <w:rPr>
          <w:rFonts w:hint="eastAsia"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对错误进行更正，分析错误原因，引以为戒，举一反三，避免同类问题重复发生。</w:t>
      </w:r>
    </w:p>
    <w:p w14:paraId="7F991EE0">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22.关于“执法随意性大”问题。</w:t>
      </w:r>
    </w:p>
    <w:p w14:paraId="73C38092">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eastAsia="zh-CN"/>
        </w:rPr>
        <w:t>一是</w:t>
      </w:r>
      <w:r>
        <w:rPr>
          <w:rFonts w:hint="eastAsia" w:ascii="仿宋_GB2312" w:hAnsi="仿宋_GB2312" w:eastAsia="仿宋_GB2312" w:cs="仿宋_GB2312"/>
          <w:b w:val="0"/>
          <w:bCs w:val="0"/>
          <w:color w:val="auto"/>
          <w:sz w:val="32"/>
          <w:szCs w:val="32"/>
          <w:highlight w:val="none"/>
          <w:lang w:eastAsia="zh-CN"/>
        </w:rPr>
        <w:t>严格企业罚款延期缴纳审批流程，对企业提交的经营收入等关键证明材料开展实质性核实，确保审批依据真实、程序合规。</w:t>
      </w:r>
      <w:r>
        <w:rPr>
          <w:rFonts w:hint="eastAsia" w:ascii="仿宋_GB2312" w:hAnsi="仿宋_GB2312" w:eastAsia="仿宋_GB2312" w:cs="仿宋_GB2312"/>
          <w:b/>
          <w:bCs/>
          <w:i w:val="0"/>
          <w:iCs w:val="0"/>
          <w:caps w:val="0"/>
          <w:color w:val="auto"/>
          <w:spacing w:val="0"/>
          <w:sz w:val="32"/>
          <w:szCs w:val="32"/>
          <w:highlight w:val="none"/>
          <w:shd w:val="clear" w:fill="FFFFFF"/>
        </w:rPr>
        <w:t>二是</w:t>
      </w:r>
      <w:r>
        <w:rPr>
          <w:rFonts w:hint="eastAsia" w:ascii="仿宋_GB2312" w:hAnsi="仿宋_GB2312" w:eastAsia="仿宋_GB2312" w:cs="仿宋_GB2312"/>
          <w:i w:val="0"/>
          <w:iCs w:val="0"/>
          <w:caps w:val="0"/>
          <w:color w:val="auto"/>
          <w:spacing w:val="0"/>
          <w:sz w:val="32"/>
          <w:szCs w:val="32"/>
          <w:highlight w:val="none"/>
          <w:shd w:val="clear" w:fill="FFFFFF"/>
        </w:rPr>
        <w:t>针</w:t>
      </w:r>
      <w:r>
        <w:rPr>
          <w:rFonts w:hint="eastAsia" w:ascii="仿宋_GB2312" w:hAnsi="仿宋_GB2312" w:eastAsia="仿宋_GB2312" w:cs="仿宋_GB2312"/>
          <w:b w:val="0"/>
          <w:bCs w:val="0"/>
          <w:color w:val="auto"/>
          <w:kern w:val="0"/>
          <w:sz w:val="32"/>
          <w:szCs w:val="32"/>
          <w:highlight w:val="none"/>
          <w:lang w:val="en-US" w:eastAsia="zh-CN" w:bidi="ar-SA"/>
        </w:rPr>
        <w:t>对相关企业瞒报</w:t>
      </w:r>
      <w:r>
        <w:rPr>
          <w:rFonts w:hint="eastAsia" w:ascii="仿宋_GB2312" w:hAnsi="仿宋_GB2312" w:eastAsia="仿宋_GB2312" w:cs="仿宋_GB2312"/>
          <w:i w:val="0"/>
          <w:iCs w:val="0"/>
          <w:caps w:val="0"/>
          <w:color w:val="auto"/>
          <w:spacing w:val="0"/>
          <w:sz w:val="32"/>
          <w:szCs w:val="32"/>
          <w:highlight w:val="none"/>
          <w:shd w:val="clear" w:fill="FFFFFF"/>
        </w:rPr>
        <w:t>行为的行政处罚，明确催缴时限和责任主体：自处罚决定书送达之日起 15 日内，由执法大队专人完成首次催缴并跟踪履行情况；当事人未履行义务，且行政救济期限届满后，行政机关书面启动二次催告，催告履行宽限期满仍未履行的，向法院申请强制执行，确保处罚决定依法执行到位。</w:t>
      </w:r>
      <w:r>
        <w:rPr>
          <w:rFonts w:hint="eastAsia" w:ascii="仿宋_GB2312" w:hAnsi="仿宋_GB2312" w:eastAsia="仿宋_GB2312" w:cs="仿宋_GB2312"/>
          <w:b/>
          <w:bCs/>
          <w:color w:val="auto"/>
          <w:sz w:val="32"/>
          <w:szCs w:val="32"/>
          <w:highlight w:val="none"/>
          <w:lang w:eastAsia="zh-CN"/>
        </w:rPr>
        <w:t>三是</w:t>
      </w:r>
      <w:r>
        <w:rPr>
          <w:rFonts w:hint="eastAsia" w:ascii="仿宋_GB2312" w:hAnsi="仿宋_GB2312" w:eastAsia="仿宋_GB2312" w:cs="仿宋_GB2312"/>
          <w:b w:val="0"/>
          <w:bCs w:val="0"/>
          <w:color w:val="auto"/>
          <w:sz w:val="32"/>
          <w:szCs w:val="32"/>
          <w:highlight w:val="none"/>
          <w:lang w:eastAsia="zh-CN"/>
        </w:rPr>
        <w:t>严守处罚标准底线，严格依据相关法律法规及《河北省应急管理系统行政裁量权基准》，精准核定处罚事项与幅度，确保每一项处罚都合法合规、有据可依。</w:t>
      </w:r>
      <w:r>
        <w:rPr>
          <w:rFonts w:hint="eastAsia" w:ascii="仿宋_GB2312" w:hAnsi="仿宋_GB2312" w:eastAsia="仿宋_GB2312" w:cs="仿宋_GB2312"/>
          <w:b/>
          <w:bCs/>
          <w:color w:val="auto"/>
          <w:sz w:val="32"/>
          <w:szCs w:val="32"/>
          <w:highlight w:val="none"/>
          <w:lang w:eastAsia="zh-CN"/>
        </w:rPr>
        <w:t>四是</w:t>
      </w:r>
      <w:r>
        <w:rPr>
          <w:rFonts w:hint="eastAsia" w:ascii="仿宋_GB2312" w:hAnsi="仿宋_GB2312" w:eastAsia="仿宋_GB2312" w:cs="仿宋_GB2312"/>
          <w:b w:val="0"/>
          <w:bCs w:val="0"/>
          <w:color w:val="auto"/>
          <w:sz w:val="32"/>
          <w:szCs w:val="32"/>
          <w:highlight w:val="none"/>
          <w:lang w:eastAsia="zh-CN"/>
        </w:rPr>
        <w:t>强化同类违法行为审查监督，对性质相同的违法行为实行统一审查标准，深入核查处罚裁量尺度，严禁出现区别对待、畸轻畸重等不规范现象，切实维护行政执法公平性。</w:t>
      </w:r>
    </w:p>
    <w:p w14:paraId="5CBA42FD">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lang w:val="en-US" w:eastAsia="zh-CN"/>
        </w:rPr>
        <w:t>八</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聚焦“</w:t>
      </w:r>
      <w:r>
        <w:rPr>
          <w:rFonts w:hint="eastAsia" w:ascii="楷体_GB2312" w:hAnsi="楷体_GB2312" w:eastAsia="楷体_GB2312" w:cs="楷体_GB2312"/>
          <w:b/>
          <w:bCs/>
          <w:color w:val="auto"/>
          <w:sz w:val="32"/>
          <w:szCs w:val="32"/>
          <w:highlight w:val="none"/>
          <w:lang w:val="en-US" w:eastAsia="zh-CN"/>
        </w:rPr>
        <w:t>安全行政执法领导监督不到位，执法规范化、实效性不足”方面</w:t>
      </w:r>
    </w:p>
    <w:p w14:paraId="3E66754F">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23.关于“合同签署不规范”问题</w:t>
      </w:r>
    </w:p>
    <w:p w14:paraId="214D47D2">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深刻认识到“煤改电”项目“先施工后签约”行为的违规性，已将该问题列为典型案例警示全体人员。后续工作全局相关股室、队、中心将引以为戒，严格遵循合法合规流程，全面履行项目审批、合同签署等各项手续，坚决杜绝此类违规操作再次发生。</w:t>
      </w:r>
    </w:p>
    <w:p w14:paraId="0C461FD0">
      <w:pPr>
        <w:pStyle w:val="6"/>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554" w:lineRule="exact"/>
        <w:ind w:left="0"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24.关于“财务审批流程不到位，资金支出监管不严”</w:t>
      </w:r>
      <w:r>
        <w:rPr>
          <w:rFonts w:hint="eastAsia" w:ascii="仿宋_GB2312" w:hAnsi="仿宋_GB2312" w:eastAsia="仿宋_GB2312" w:cs="仿宋_GB2312"/>
          <w:b/>
          <w:bCs/>
          <w:color w:val="auto"/>
          <w:sz w:val="32"/>
          <w:szCs w:val="32"/>
          <w:highlight w:val="none"/>
          <w:lang w:val="en-US" w:eastAsia="zh-CN"/>
        </w:rPr>
        <w:t>问题</w:t>
      </w:r>
    </w:p>
    <w:p w14:paraId="761B1733">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一是</w:t>
      </w:r>
      <w:r>
        <w:rPr>
          <w:rFonts w:hint="eastAsia" w:ascii="仿宋_GB2312" w:hAnsi="仿宋_GB2312" w:eastAsia="仿宋_GB2312" w:cs="仿宋_GB2312"/>
          <w:b w:val="0"/>
          <w:bCs/>
          <w:color w:val="auto"/>
          <w:kern w:val="2"/>
          <w:sz w:val="32"/>
          <w:szCs w:val="32"/>
          <w:highlight w:val="none"/>
          <w:lang w:val="en-US" w:eastAsia="zh-CN" w:bidi="ar-SA"/>
        </w:rPr>
        <w:t>规范财务管理制度和财务审批流程，完善《滦平县应急管理局财务管理制度》，禁止从零余额账户支取现金再存入基本账户、禁止借支现金，出差一律使用公务卡结算，无经手人签字、手续不全、名称信息不准确的不予报销支付。由局主要领导与相关责任人进行谈心谈话，针对巡察问题从思想认识、工作方法、制度执行等层面自我剖析，确保整改到位。</w:t>
      </w:r>
      <w:r>
        <w:rPr>
          <w:rFonts w:hint="eastAsia" w:ascii="仿宋_GB2312" w:hAnsi="仿宋_GB2312" w:eastAsia="仿宋_GB2312" w:cs="仿宋_GB2312"/>
          <w:b/>
          <w:bCs w:val="0"/>
          <w:color w:val="auto"/>
          <w:kern w:val="2"/>
          <w:sz w:val="32"/>
          <w:szCs w:val="32"/>
          <w:highlight w:val="none"/>
          <w:lang w:val="en-US" w:eastAsia="zh-CN" w:bidi="ar-SA"/>
        </w:rPr>
        <w:t>二是</w:t>
      </w:r>
      <w:r>
        <w:rPr>
          <w:rFonts w:hint="eastAsia" w:ascii="仿宋_GB2312" w:hAnsi="仿宋_GB2312" w:eastAsia="仿宋_GB2312" w:cs="仿宋_GB2312"/>
          <w:b w:val="0"/>
          <w:bCs w:val="0"/>
          <w:color w:val="auto"/>
          <w:sz w:val="32"/>
          <w:szCs w:val="32"/>
          <w:highlight w:val="none"/>
          <w:lang w:val="en-US" w:eastAsia="zh-CN"/>
        </w:rPr>
        <w:t>针对伙食费、办公费无审批签字及物资采购缺少发放明细等问题，大队已全面核查相关凭证，补齐缺失的审批签字、票据及发放明细，确保支出手续完整可追溯；建立健全《滦平县应急管理局财务管理制度》，包含现金管理、银行存款管理、印章管理、办公用品管理、财务收支审批、差旅费管理、固定资产管理制度，并明确各项制度各环节责任与流程，严格履行审核、审批手续，从根源上杜绝财务支出不规范问题。</w:t>
      </w:r>
    </w:p>
    <w:p w14:paraId="612A88C4">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25.关于“物资采购管理不到位”问题</w:t>
      </w:r>
    </w:p>
    <w:p w14:paraId="7B53B112">
      <w:pPr>
        <w:pStyle w:val="5"/>
        <w:keepNext w:val="0"/>
        <w:keepLines w:val="0"/>
        <w:pageBreakBefore w:val="0"/>
        <w:numPr>
          <w:ilvl w:val="0"/>
          <w:numId w:val="0"/>
        </w:numPr>
        <w:shd w:val="clear"/>
        <w:kinsoku/>
        <w:wordWrap/>
        <w:overflowPunct/>
        <w:topLinePunct w:val="0"/>
        <w:autoSpaceDE/>
        <w:autoSpaceDN/>
        <w:bidi w:val="0"/>
        <w:snapToGrid/>
        <w:spacing w:after="0" w:line="554" w:lineRule="exact"/>
        <w:ind w:left="0" w:leftChars="0" w:firstLine="632"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b w:val="0"/>
          <w:bCs w:val="0"/>
          <w:color w:val="auto"/>
          <w:sz w:val="32"/>
          <w:szCs w:val="32"/>
          <w:highlight w:val="none"/>
          <w:lang w:val="en-US" w:eastAsia="zh-CN"/>
        </w:rPr>
        <w:t>大队在现有管理制度基础上，进一步完善《森林草原消防大队日常采购管理制度》、出入库台账制度，建立常态化监督核查机制，确保采购行为合理合规，杜绝物资浪费与资金闲置；</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val="en-US" w:eastAsia="zh-CN"/>
        </w:rPr>
        <w:t>完善《森林草原消防大队日常采购管理制度》，建立食材出入库台账与用餐人员台账，实现食材消耗与人员用餐精准管理；</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sz w:val="32"/>
          <w:szCs w:val="32"/>
          <w:highlight w:val="none"/>
          <w:lang w:val="en-US" w:eastAsia="zh-CN"/>
        </w:rPr>
        <w:t>规范日常采购流程，明确采购标准与审批节点，有效杜绝超量采购与浪费现象。</w:t>
      </w:r>
      <w:r>
        <w:rPr>
          <w:rFonts w:hint="eastAsia" w:ascii="仿宋_GB2312" w:hAnsi="仿宋_GB2312" w:eastAsia="仿宋_GB2312" w:cs="仿宋_GB2312"/>
          <w:b/>
          <w:bCs/>
          <w:color w:val="auto"/>
          <w:sz w:val="32"/>
          <w:szCs w:val="32"/>
          <w:highlight w:val="none"/>
          <w:lang w:val="en-US" w:eastAsia="zh-CN"/>
        </w:rPr>
        <w:t>四是</w:t>
      </w:r>
      <w:r>
        <w:rPr>
          <w:rFonts w:hint="eastAsia" w:ascii="仿宋_GB2312" w:hAnsi="仿宋_GB2312" w:eastAsia="仿宋_GB2312" w:cs="仿宋_GB2312"/>
          <w:b w:val="0"/>
          <w:bCs w:val="0"/>
          <w:color w:val="auto"/>
          <w:sz w:val="32"/>
          <w:szCs w:val="32"/>
          <w:highlight w:val="none"/>
          <w:lang w:val="en-US" w:eastAsia="zh-CN"/>
        </w:rPr>
        <w:t>为确保巡察反馈问题整改落地，局主要领导将与相关责任人进行谈心谈话，并进行批评教育，要求责任人深入自我剖析，提高思想认识，明确整改方向。</w:t>
      </w:r>
    </w:p>
    <w:p w14:paraId="75CDD05F">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26.关于“财务处理不及时”问题</w:t>
      </w:r>
    </w:p>
    <w:p w14:paraId="04398062">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日常工作中按月及时清理历史往来账务积压，完善《滦平县应急管理局财务管理制度》，严禁借支公款，杜绝长期借款不及时归还问题。</w:t>
      </w:r>
    </w:p>
    <w:p w14:paraId="55111D9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lang w:val="en-US" w:eastAsia="zh-CN"/>
        </w:rPr>
        <w:t>九</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聚焦“</w:t>
      </w:r>
      <w:r>
        <w:rPr>
          <w:rFonts w:hint="eastAsia" w:ascii="楷体_GB2312" w:hAnsi="楷体_GB2312" w:eastAsia="楷体_GB2312" w:cs="楷体_GB2312"/>
          <w:b/>
          <w:bCs/>
          <w:color w:val="auto"/>
          <w:sz w:val="32"/>
          <w:szCs w:val="32"/>
          <w:highlight w:val="none"/>
          <w:lang w:val="en-US" w:eastAsia="zh-CN"/>
        </w:rPr>
        <w:t>全面从严治党主体责任落实有差距，压力传导还不到位”方面</w:t>
      </w:r>
    </w:p>
    <w:p w14:paraId="7530B4CD">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27.关于“精文减负不严格”问题</w:t>
      </w:r>
    </w:p>
    <w:p w14:paraId="7EEA7BC7">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b w:val="0"/>
          <w:bCs w:val="0"/>
          <w:color w:val="auto"/>
          <w:sz w:val="32"/>
          <w:szCs w:val="32"/>
          <w:highlight w:val="none"/>
          <w:lang w:eastAsia="zh-CN"/>
        </w:rPr>
        <w:t>推动全员深入领会精简文件、优化形式对减轻基层负担的重要性，引导形成主动为基层减负的思想观念和全员参与的良好氛围。</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eastAsia="zh-CN"/>
        </w:rPr>
        <w:t>强化文件审核与合并环节，加强对文件内容的把关，确保文件精炼、实用且针对性强，着力减少文件数量，提升文件质量。</w:t>
      </w:r>
    </w:p>
    <w:p w14:paraId="42E9A2AD">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28.关于“对全面从严治党主体责任重视不够”问题</w:t>
      </w:r>
    </w:p>
    <w:p w14:paraId="539FAF15">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一是落实全面从严治党</w:t>
      </w:r>
      <w:r>
        <w:rPr>
          <w:rFonts w:hint="eastAsia" w:ascii="仿宋_GB2312" w:hAnsi="仿宋_GB2312" w:eastAsia="仿宋_GB2312" w:cs="仿宋_GB2312"/>
          <w:b w:val="0"/>
          <w:bCs w:val="0"/>
          <w:color w:val="auto"/>
          <w:sz w:val="32"/>
          <w:szCs w:val="32"/>
          <w:highlight w:val="none"/>
          <w:lang w:val="en-US" w:eastAsia="zh-CN"/>
        </w:rPr>
        <w:t>主体责任，定期召开专题会议，研究党风廉政建设工作，结合工作实际制定《滦平县应急管理局全面从严治党主体责任清单》。</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val="en-US" w:eastAsia="zh-CN"/>
        </w:rPr>
        <w:t>开展岗位廉政风险全覆盖梳理，重点补充内勤岗位风险点，制定针对性防控措施，将全面从严治党要求嵌入所有岗位流程。</w:t>
      </w:r>
    </w:p>
    <w:p w14:paraId="7E3681E4">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29.关于“‘ 一岗双责’履职不到位，日常监督弱化”问题</w:t>
      </w:r>
    </w:p>
    <w:p w14:paraId="5EFBB46A">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kern w:val="2"/>
          <w:sz w:val="32"/>
          <w:szCs w:val="32"/>
          <w:highlight w:val="none"/>
          <w:lang w:val="en-US" w:eastAsia="zh-CN" w:bidi="ar-SA"/>
        </w:rPr>
        <w:t>一是</w:t>
      </w:r>
      <w:r>
        <w:rPr>
          <w:rFonts w:hint="eastAsia" w:ascii="仿宋_GB2312" w:hAnsi="仿宋_GB2312" w:eastAsia="仿宋_GB2312" w:cs="仿宋_GB2312"/>
          <w:b w:val="0"/>
          <w:bCs w:val="0"/>
          <w:color w:val="auto"/>
          <w:kern w:val="2"/>
          <w:sz w:val="32"/>
          <w:szCs w:val="32"/>
          <w:highlight w:val="none"/>
          <w:lang w:val="en-US" w:eastAsia="zh-CN" w:bidi="ar-SA"/>
        </w:rPr>
        <w:t>进一步细化“一岗双责”的具体职责，定期召开党委会议，强化日常监督，安排部署全面从严治党工作，明确各级领导干部的主体责任和监督责任；</w:t>
      </w:r>
      <w:r>
        <w:rPr>
          <w:rFonts w:hint="eastAsia" w:ascii="仿宋_GB2312" w:hAnsi="仿宋_GB2312" w:eastAsia="仿宋_GB2312" w:cs="仿宋_GB2312"/>
          <w:b/>
          <w:bCs/>
          <w:color w:val="auto"/>
          <w:kern w:val="2"/>
          <w:sz w:val="32"/>
          <w:szCs w:val="32"/>
          <w:highlight w:val="none"/>
          <w:lang w:val="en-US" w:eastAsia="zh-CN" w:bidi="ar-SA"/>
        </w:rPr>
        <w:t>二是</w:t>
      </w:r>
      <w:r>
        <w:rPr>
          <w:rFonts w:hint="eastAsia" w:ascii="仿宋_GB2312" w:hAnsi="仿宋_GB2312" w:eastAsia="仿宋_GB2312" w:cs="仿宋_GB2312"/>
          <w:b w:val="0"/>
          <w:bCs w:val="0"/>
          <w:color w:val="auto"/>
          <w:kern w:val="2"/>
          <w:sz w:val="32"/>
          <w:szCs w:val="32"/>
          <w:highlight w:val="none"/>
          <w:lang w:val="en-US" w:eastAsia="zh-CN" w:bidi="ar-SA"/>
        </w:rPr>
        <w:t>经常性的谈心谈话，深入了解党员干部的思想动态，对发现的苗头性、倾向性问题，及时给予指导和帮助，提出明确的整改要求，做到早发现、早提醒、早纠正；</w:t>
      </w:r>
      <w:r>
        <w:rPr>
          <w:rFonts w:hint="eastAsia" w:ascii="仿宋_GB2312" w:hAnsi="仿宋_GB2312" w:eastAsia="仿宋_GB2312" w:cs="仿宋_GB2312"/>
          <w:b/>
          <w:bCs/>
          <w:color w:val="auto"/>
          <w:kern w:val="2"/>
          <w:sz w:val="32"/>
          <w:szCs w:val="32"/>
          <w:highlight w:val="none"/>
          <w:lang w:val="en-US" w:eastAsia="zh-CN" w:bidi="ar-SA"/>
        </w:rPr>
        <w:t>三是</w:t>
      </w:r>
      <w:r>
        <w:rPr>
          <w:rFonts w:hint="eastAsia" w:ascii="仿宋_GB2312" w:hAnsi="仿宋_GB2312" w:eastAsia="仿宋_GB2312" w:cs="仿宋_GB2312"/>
          <w:b w:val="0"/>
          <w:bCs w:val="0"/>
          <w:color w:val="auto"/>
          <w:kern w:val="2"/>
          <w:sz w:val="32"/>
          <w:szCs w:val="32"/>
          <w:highlight w:val="none"/>
          <w:lang w:val="en-US" w:eastAsia="zh-CN" w:bidi="ar-SA"/>
        </w:rPr>
        <w:t>建立常态化警示教育机制。每季度选取各领域、各岗位典型违规违纪案例，组织全体干部职工召开警示教育会，对照查摆自身问题，强化纪律意识。​</w:t>
      </w:r>
    </w:p>
    <w:p w14:paraId="689EA23C">
      <w:pPr>
        <w:keepNext w:val="0"/>
        <w:keepLines w:val="0"/>
        <w:pageBreakBefore w:val="0"/>
        <w:widowControl/>
        <w:numPr>
          <w:ilvl w:val="0"/>
          <w:numId w:val="1"/>
        </w:numPr>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rPr>
        <w:t>聚焦“</w:t>
      </w:r>
      <w:r>
        <w:rPr>
          <w:rFonts w:hint="eastAsia" w:ascii="楷体_GB2312" w:hAnsi="楷体_GB2312" w:eastAsia="楷体_GB2312" w:cs="楷体_GB2312"/>
          <w:b/>
          <w:bCs/>
          <w:color w:val="auto"/>
          <w:sz w:val="32"/>
          <w:szCs w:val="32"/>
          <w:highlight w:val="none"/>
          <w:lang w:val="en-US" w:eastAsia="zh-CN"/>
        </w:rPr>
        <w:t>基层党组织建设统筹谋划不足，组织力和战斗力亟待提升”方面。</w:t>
      </w:r>
    </w:p>
    <w:p w14:paraId="5BAED13F">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30.关于“党员日常管理不到位”问题</w:t>
      </w:r>
    </w:p>
    <w:p w14:paraId="752CFA1A">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b w:val="0"/>
          <w:bCs w:val="0"/>
          <w:color w:val="auto"/>
          <w:sz w:val="32"/>
          <w:szCs w:val="32"/>
          <w:highlight w:val="none"/>
          <w:lang w:val="en-US" w:eastAsia="zh-CN"/>
        </w:rPr>
        <w:t>明确每月5日至10日为党费缴纳窗口期，党员需通过党支部指定渠道按月足额缴纳，若遇特殊情况，经党支部同意，可以每季度交纳一次党费；</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val="en-US" w:eastAsia="zh-CN"/>
        </w:rPr>
        <w:t>党员如果未经党组织同意而少交党费，应当受到严肃的批评教育，并限期改正，经批评教育仍不改正，情节严重的，应给予必要的组织处理；</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sz w:val="32"/>
          <w:szCs w:val="32"/>
          <w:highlight w:val="none"/>
          <w:lang w:val="en-US" w:eastAsia="zh-CN"/>
        </w:rPr>
        <w:t>杜绝一次性补缴多月党费的情况。</w:t>
      </w:r>
    </w:p>
    <w:p w14:paraId="4810854E">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31.关于“党建引领作用不突出”问题</w:t>
      </w:r>
    </w:p>
    <w:p w14:paraId="0B870DEF">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一是</w:t>
      </w:r>
      <w:r>
        <w:rPr>
          <w:rFonts w:hint="eastAsia" w:ascii="仿宋_GB2312" w:hAnsi="仿宋_GB2312" w:eastAsia="仿宋_GB2312" w:cs="仿宋_GB2312"/>
          <w:b w:val="0"/>
          <w:bCs/>
          <w:color w:val="auto"/>
          <w:sz w:val="32"/>
          <w:szCs w:val="32"/>
          <w:highlight w:val="none"/>
          <w:lang w:val="en-US" w:eastAsia="zh-CN"/>
        </w:rPr>
        <w:t>强化统筹规划，结合应急管理局工作实际，每季度召开党建工作会议，对各党支部重点工作进行部署，及时发现和解决问题，确保党建工作有序推进；</w:t>
      </w:r>
      <w:r>
        <w:rPr>
          <w:rFonts w:hint="eastAsia" w:ascii="仿宋_GB2312" w:hAnsi="仿宋_GB2312" w:eastAsia="仿宋_GB2312" w:cs="仿宋_GB2312"/>
          <w:b/>
          <w:bCs w:val="0"/>
          <w:color w:val="auto"/>
          <w:sz w:val="32"/>
          <w:szCs w:val="32"/>
          <w:highlight w:val="none"/>
          <w:lang w:val="en-US" w:eastAsia="zh-CN"/>
        </w:rPr>
        <w:t>二是</w:t>
      </w:r>
      <w:r>
        <w:rPr>
          <w:rFonts w:hint="eastAsia" w:ascii="仿宋_GB2312" w:hAnsi="仿宋_GB2312" w:eastAsia="仿宋_GB2312" w:cs="仿宋_GB2312"/>
          <w:b w:val="0"/>
          <w:bCs/>
          <w:color w:val="auto"/>
          <w:sz w:val="32"/>
          <w:szCs w:val="32"/>
          <w:highlight w:val="none"/>
          <w:lang w:val="en-US" w:eastAsia="zh-CN"/>
        </w:rPr>
        <w:t>2025年已将“四强党支部”创建和“联学共建”等重点工作列入党支部手册工作要点；</w:t>
      </w:r>
      <w:r>
        <w:rPr>
          <w:rFonts w:hint="eastAsia" w:ascii="仿宋_GB2312" w:hAnsi="仿宋_GB2312" w:eastAsia="仿宋_GB2312" w:cs="仿宋_GB2312"/>
          <w:b/>
          <w:bCs w:val="0"/>
          <w:color w:val="auto"/>
          <w:sz w:val="32"/>
          <w:szCs w:val="32"/>
          <w:highlight w:val="none"/>
          <w:lang w:val="en-US" w:eastAsia="zh-CN"/>
        </w:rPr>
        <w:t>三是</w:t>
      </w:r>
      <w:r>
        <w:rPr>
          <w:rFonts w:hint="eastAsia" w:ascii="仿宋_GB2312" w:hAnsi="仿宋_GB2312" w:eastAsia="仿宋_GB2312" w:cs="仿宋_GB2312"/>
          <w:b w:val="0"/>
          <w:bCs/>
          <w:color w:val="auto"/>
          <w:sz w:val="32"/>
          <w:szCs w:val="32"/>
          <w:highlight w:val="none"/>
          <w:lang w:val="en-US" w:eastAsia="zh-CN"/>
        </w:rPr>
        <w:t>以推动党建与应急管理业务深度融合为核心抓手，积极探索、全力投入“安全先锋”党支部党建品牌创建工作，聚焦应急管理、安全生产监管、防灾减灾救灾等主责主业，围绕抢险救援、隐患排查、应急演练、宣传教育等重点内容与党建品牌创建同开展，力争通过扎实举措形成特色鲜明、作用突出的党建品牌。</w:t>
      </w:r>
    </w:p>
    <w:p w14:paraId="0A606697">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32.关于“党内政治生活质量不高”问题</w:t>
      </w:r>
    </w:p>
    <w:p w14:paraId="1F32EFDD">
      <w:pPr>
        <w:keepNext w:val="0"/>
        <w:keepLines w:val="0"/>
        <w:pageBreakBefore w:val="0"/>
        <w:widowControl/>
        <w:numPr>
          <w:ilvl w:val="0"/>
          <w:numId w:val="0"/>
        </w:numPr>
        <w:suppressLineNumbers w:val="0"/>
        <w:pBdr>
          <w:left w:val="none" w:color="auto" w:sz="0" w:space="0"/>
        </w:pBdr>
        <w:shd w:val="clear"/>
        <w:kinsoku/>
        <w:wordWrap/>
        <w:overflowPunct/>
        <w:topLinePunct w:val="0"/>
        <w:autoSpaceDE/>
        <w:autoSpaceDN/>
        <w:bidi w:val="0"/>
        <w:adjustRightInd/>
        <w:snapToGrid/>
        <w:spacing w:before="0" w:beforeAutospacing="0" w:afterAutospacing="0" w:line="554" w:lineRule="exact"/>
        <w:ind w:left="0" w:leftChars="0" w:firstLine="632"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制定《中共滦平县应急管理局支部党员谈心谈话制度》，明确要求谈话对象称呼需使用规范党内称谓、杜绝模糊指代，谈话内容需紧密结合应急管理岗位职责，聚焦思想动态交流、工作问题查摆、风险隐患提醒，推动谈心谈话取得实效，以严肃的组织生活淬炼党员党性，增强支部凝聚力和战斗力，为应急管理工作高质量发展筑牢政治根基。</w:t>
      </w:r>
    </w:p>
    <w:p w14:paraId="4EFCA1EB">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12" w:firstLineChars="200"/>
        <w:jc w:val="left"/>
        <w:textAlignment w:val="auto"/>
        <w:outlineLvl w:val="9"/>
      </w:pPr>
      <w:r>
        <w:rPr>
          <w:rFonts w:hint="eastAsia" w:ascii="黑体" w:hAnsi="宋体" w:eastAsia="黑体" w:cs="黑体"/>
          <w:color w:val="000000"/>
          <w:kern w:val="0"/>
          <w:sz w:val="31"/>
          <w:szCs w:val="31"/>
          <w:lang w:val="en-US" w:eastAsia="zh-CN" w:bidi="ar"/>
        </w:rPr>
        <w:t xml:space="preserve">三、下一步打算和措施 </w:t>
      </w:r>
    </w:p>
    <w:p w14:paraId="6AFDF675">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为深入贯彻落实巡察整改工作要求，切实把巡察反馈问题整改作为重大政治任务，全面巩固拓展整改成效，推动整改工作从“集中整改”向“长效治理”转变，确保反馈问题全部整改到位、见底清零、不反弹，结合工作实际，制定下一步工作打算及措施：</w:t>
      </w:r>
    </w:p>
    <w:p w14:paraId="19D9DDCF">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（一）深化整改成效巩固。</w:t>
      </w:r>
      <w:r>
        <w:rPr>
          <w:rFonts w:hint="eastAsia" w:ascii="仿宋_GB2312" w:hAnsi="仿宋_GB2312" w:eastAsia="仿宋_GB2312" w:cs="仿宋_GB2312"/>
          <w:b w:val="0"/>
          <w:bCs w:val="0"/>
          <w:color w:val="auto"/>
          <w:kern w:val="0"/>
          <w:sz w:val="32"/>
          <w:szCs w:val="32"/>
          <w:highlight w:val="none"/>
          <w:lang w:val="en-US" w:eastAsia="zh-CN" w:bidi="ar-SA"/>
        </w:rPr>
        <w:t>对所有已完成的整改事项全面开展“回头看”，逐项核查整改质量，建立问题台账闭环管理机制，定期开展复盘检视，坚决防止问题反弹回潮，持续巩固整改成果，确保整改成效经得起检验。</w:t>
      </w:r>
    </w:p>
    <w:p w14:paraId="0D7C5D8D">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（二）健全长效制度体系。</w:t>
      </w:r>
      <w:r>
        <w:rPr>
          <w:rFonts w:hint="eastAsia" w:ascii="仿宋_GB2312" w:hAnsi="仿宋_GB2312" w:eastAsia="仿宋_GB2312" w:cs="仿宋_GB2312"/>
          <w:b w:val="0"/>
          <w:bCs w:val="0"/>
          <w:color w:val="auto"/>
          <w:kern w:val="0"/>
          <w:sz w:val="32"/>
          <w:szCs w:val="32"/>
          <w:highlight w:val="none"/>
          <w:lang w:val="en-US" w:eastAsia="zh-CN" w:bidi="ar-SA"/>
        </w:rPr>
        <w:t>针对巡察反馈问题，结合整改落实情况，全面梳理完善现有规章制度，细化工作流程、明确责任清单、健全监管机制，构建权责清晰、流程规范、监管有效、执行有力的长效管理体系，以制度建设固化整改成果，从根源上防范同类问题发生。</w:t>
      </w:r>
    </w:p>
    <w:p w14:paraId="44D9245A">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（三）强化整改成果转化</w:t>
      </w:r>
      <w:r>
        <w:rPr>
          <w:rFonts w:hint="eastAsia" w:ascii="仿宋_GB2312" w:hAnsi="仿宋_GB2312" w:eastAsia="仿宋_GB2312" w:cs="仿宋_GB2312"/>
          <w:b w:val="0"/>
          <w:bCs w:val="0"/>
          <w:color w:val="auto"/>
          <w:kern w:val="0"/>
          <w:sz w:val="32"/>
          <w:szCs w:val="32"/>
          <w:highlight w:val="none"/>
          <w:lang w:val="en-US" w:eastAsia="zh-CN" w:bidi="ar-SA"/>
        </w:rPr>
        <w:t>。将巡察整改成果与中心工作深度融合，把整改过程中形成的好经验、好做法，转化为提升队伍建设、履职尽责的具体举措，切实把整改成效体现到工作提质增效、能力全面提升上。</w:t>
      </w:r>
    </w:p>
    <w:p w14:paraId="6EEA3703">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（四）深化思想引领提升。</w:t>
      </w:r>
      <w:r>
        <w:rPr>
          <w:rFonts w:hint="eastAsia" w:ascii="仿宋_GB2312" w:hAnsi="仿宋_GB2312" w:eastAsia="仿宋_GB2312" w:cs="仿宋_GB2312"/>
          <w:b w:val="0"/>
          <w:bCs w:val="0"/>
          <w:color w:val="auto"/>
          <w:kern w:val="0"/>
          <w:sz w:val="32"/>
          <w:szCs w:val="32"/>
          <w:highlight w:val="none"/>
          <w:lang w:val="en-US" w:eastAsia="zh-CN" w:bidi="ar-SA"/>
        </w:rPr>
        <w:t>持续将巡察整改与党性教育、业务培训相结合，常态化开展合规管理、风险防控、履职尽责等专题学习，不断提升全员政治素养、责任意识和业务能力，筑牢思想防线，推动各项工作规范化、标准化开展。</w:t>
      </w:r>
    </w:p>
    <w:p w14:paraId="3619D7B1">
      <w:pPr>
        <w:keepNext w:val="0"/>
        <w:keepLines w:val="0"/>
        <w:pageBreakBefore w:val="0"/>
        <w:widowControl/>
        <w:suppressLineNumbers w:val="0"/>
        <w:shd w:val="clear"/>
        <w:kinsoku/>
        <w:wordWrap/>
        <w:overflowPunct/>
        <w:topLinePunct w:val="0"/>
        <w:autoSpaceDE/>
        <w:autoSpaceDN/>
        <w:bidi w:val="0"/>
        <w:adjustRightInd/>
        <w:snapToGrid/>
        <w:spacing w:line="554" w:lineRule="exact"/>
        <w:ind w:leftChars="0" w:firstLine="632"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SA"/>
        </w:rPr>
        <w:t>（五）严格常态监督管控。</w:t>
      </w:r>
      <w:r>
        <w:rPr>
          <w:rFonts w:hint="eastAsia" w:ascii="仿宋_GB2312" w:hAnsi="仿宋_GB2312" w:eastAsia="仿宋_GB2312" w:cs="仿宋_GB2312"/>
          <w:b w:val="0"/>
          <w:bCs w:val="0"/>
          <w:color w:val="auto"/>
          <w:kern w:val="0"/>
          <w:sz w:val="32"/>
          <w:szCs w:val="32"/>
          <w:highlight w:val="none"/>
          <w:lang w:val="en-US" w:eastAsia="zh-CN" w:bidi="ar-SA"/>
        </w:rPr>
        <w:t>健全完善整改成效常态化监督机制，通过定期自查、随机抽查、专项督查等方式，强化对整改成果和制度执行情况的监督检查，对违反制度规定、整改成效不牢固的严肃追责问责，推动整改成果转化为应急事业高质量发展的强大动力。</w:t>
      </w:r>
    </w:p>
    <w:p w14:paraId="6EA3CFF7">
      <w:pPr>
        <w:keepNext w:val="0"/>
        <w:keepLines w:val="0"/>
        <w:pageBreakBefore w:val="0"/>
        <w:widowControl/>
        <w:suppressLineNumbers w:val="0"/>
        <w:shd w:val="clear"/>
        <w:kinsoku/>
        <w:wordWrap/>
        <w:overflowPunct/>
        <w:topLinePunct w:val="0"/>
        <w:autoSpaceDE/>
        <w:autoSpaceDN/>
        <w:bidi w:val="0"/>
        <w:adjustRightInd/>
        <w:snapToGrid/>
        <w:spacing w:line="554" w:lineRule="exact"/>
        <w:ind w:firstLine="612"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欢迎广大干部群众对巡察整改落实情况进行监督。如有意见建议，请及时向我们反映。联系电话：0314-8582510；电子邮箱:lpanjbs@163.com。</w:t>
      </w:r>
    </w:p>
    <w:p w14:paraId="484A8E2F">
      <w:pPr>
        <w:keepNext w:val="0"/>
        <w:keepLines w:val="0"/>
        <w:pageBreakBefore w:val="0"/>
        <w:widowControl/>
        <w:suppressLineNumbers w:val="0"/>
        <w:shd w:val="clear"/>
        <w:kinsoku/>
        <w:wordWrap/>
        <w:overflowPunct/>
        <w:topLinePunct w:val="0"/>
        <w:autoSpaceDE/>
        <w:autoSpaceDN/>
        <w:bidi w:val="0"/>
        <w:adjustRightInd/>
        <w:snapToGrid/>
        <w:spacing w:line="554" w:lineRule="exact"/>
        <w:jc w:val="right"/>
        <w:textAlignment w:val="auto"/>
        <w:rPr>
          <w:rFonts w:hint="eastAsia" w:ascii="仿宋_GB2312" w:hAnsi="宋体" w:eastAsia="仿宋_GB2312" w:cs="仿宋_GB2312"/>
          <w:color w:val="000000"/>
          <w:kern w:val="0"/>
          <w:sz w:val="31"/>
          <w:szCs w:val="31"/>
          <w:lang w:val="en-US" w:eastAsia="zh-CN" w:bidi="ar"/>
        </w:rPr>
      </w:pPr>
    </w:p>
    <w:sectPr>
      <w:footerReference r:id="rId3" w:type="default"/>
      <w:pgSz w:w="11906" w:h="16838"/>
      <w:pgMar w:top="2098" w:right="1474" w:bottom="1984" w:left="1587" w:header="851" w:footer="1559"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FAD4FF-7970-4828-8FD0-20097943502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D01A72DF-1C65-4677-B084-310F74777356}"/>
  </w:font>
  <w:font w:name="仿宋_GB2312">
    <w:panose1 w:val="02010609030101010101"/>
    <w:charset w:val="86"/>
    <w:family w:val="auto"/>
    <w:pitch w:val="default"/>
    <w:sig w:usb0="00000001" w:usb1="080E0000" w:usb2="00000000" w:usb3="00000000" w:csb0="00040000" w:csb1="00000000"/>
    <w:embedRegular r:id="rId3" w:fontKey="{104C5621-090F-44C7-A42D-8F74293320DE}"/>
  </w:font>
  <w:font w:name="楷体_GB2312">
    <w:panose1 w:val="02010609030101010101"/>
    <w:charset w:val="86"/>
    <w:family w:val="auto"/>
    <w:pitch w:val="default"/>
    <w:sig w:usb0="00000001" w:usb1="080E0000" w:usb2="00000000" w:usb3="00000000" w:csb0="00040000" w:csb1="00000000"/>
    <w:embedRegular r:id="rId4" w:fontKey="{AE01F5B2-6218-4E8E-9C84-A718388320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0FA4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6ED347">
                          <w:pPr>
                            <w:pStyle w:val="7"/>
                            <w:rPr>
                              <w:rFonts w:hint="eastAsia" w:asciiTheme="minorEastAsia" w:hAnsiTheme="minorEastAsia" w:eastAsiaTheme="minorEastAsia" w:cstheme="minorEastAsia"/>
                              <w:sz w:val="28"/>
                              <w:szCs w:val="52"/>
                            </w:rPr>
                          </w:pPr>
                          <w:r>
                            <w:rPr>
                              <w:rFonts w:hint="eastAsia" w:asciiTheme="minorEastAsia" w:hAnsiTheme="minorEastAsia" w:eastAsiaTheme="minorEastAsia" w:cstheme="minorEastAsia"/>
                              <w:sz w:val="28"/>
                              <w:szCs w:val="52"/>
                            </w:rPr>
                            <w:t xml:space="preserve">— </w:t>
                          </w:r>
                          <w:r>
                            <w:rPr>
                              <w:rFonts w:hint="eastAsia" w:asciiTheme="minorEastAsia" w:hAnsiTheme="minorEastAsia" w:eastAsiaTheme="minorEastAsia" w:cstheme="minorEastAsia"/>
                              <w:sz w:val="28"/>
                              <w:szCs w:val="52"/>
                            </w:rPr>
                            <w:fldChar w:fldCharType="begin"/>
                          </w:r>
                          <w:r>
                            <w:rPr>
                              <w:rFonts w:hint="eastAsia" w:asciiTheme="minorEastAsia" w:hAnsiTheme="minorEastAsia" w:eastAsiaTheme="minorEastAsia" w:cstheme="minorEastAsia"/>
                              <w:sz w:val="28"/>
                              <w:szCs w:val="52"/>
                            </w:rPr>
                            <w:instrText xml:space="preserve"> PAGE  \* MERGEFORMAT </w:instrText>
                          </w:r>
                          <w:r>
                            <w:rPr>
                              <w:rFonts w:hint="eastAsia" w:asciiTheme="minorEastAsia" w:hAnsiTheme="minorEastAsia" w:eastAsiaTheme="minorEastAsia" w:cstheme="minorEastAsia"/>
                              <w:sz w:val="28"/>
                              <w:szCs w:val="52"/>
                            </w:rPr>
                            <w:fldChar w:fldCharType="separate"/>
                          </w:r>
                          <w:r>
                            <w:rPr>
                              <w:rFonts w:hint="eastAsia" w:asciiTheme="minorEastAsia" w:hAnsiTheme="minorEastAsia" w:eastAsiaTheme="minorEastAsia" w:cstheme="minorEastAsia"/>
                              <w:sz w:val="28"/>
                              <w:szCs w:val="52"/>
                            </w:rPr>
                            <w:t>1</w:t>
                          </w:r>
                          <w:r>
                            <w:rPr>
                              <w:rFonts w:hint="eastAsia" w:asciiTheme="minorEastAsia" w:hAnsiTheme="minorEastAsia" w:eastAsiaTheme="minorEastAsia" w:cstheme="minorEastAsia"/>
                              <w:sz w:val="28"/>
                              <w:szCs w:val="52"/>
                            </w:rPr>
                            <w:fldChar w:fldCharType="end"/>
                          </w:r>
                          <w:r>
                            <w:rPr>
                              <w:rFonts w:hint="eastAsia" w:asciiTheme="minorEastAsia" w:hAnsiTheme="minorEastAsia" w:eastAsiaTheme="minorEastAsia" w:cstheme="minorEastAsia"/>
                              <w:sz w:val="28"/>
                              <w:szCs w:val="5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6ED347">
                    <w:pPr>
                      <w:pStyle w:val="7"/>
                      <w:rPr>
                        <w:rFonts w:hint="eastAsia" w:asciiTheme="minorEastAsia" w:hAnsiTheme="minorEastAsia" w:eastAsiaTheme="minorEastAsia" w:cstheme="minorEastAsia"/>
                        <w:sz w:val="28"/>
                        <w:szCs w:val="52"/>
                      </w:rPr>
                    </w:pPr>
                    <w:r>
                      <w:rPr>
                        <w:rFonts w:hint="eastAsia" w:asciiTheme="minorEastAsia" w:hAnsiTheme="minorEastAsia" w:eastAsiaTheme="minorEastAsia" w:cstheme="minorEastAsia"/>
                        <w:sz w:val="28"/>
                        <w:szCs w:val="52"/>
                      </w:rPr>
                      <w:t xml:space="preserve">— </w:t>
                    </w:r>
                    <w:r>
                      <w:rPr>
                        <w:rFonts w:hint="eastAsia" w:asciiTheme="minorEastAsia" w:hAnsiTheme="minorEastAsia" w:eastAsiaTheme="minorEastAsia" w:cstheme="minorEastAsia"/>
                        <w:sz w:val="28"/>
                        <w:szCs w:val="52"/>
                      </w:rPr>
                      <w:fldChar w:fldCharType="begin"/>
                    </w:r>
                    <w:r>
                      <w:rPr>
                        <w:rFonts w:hint="eastAsia" w:asciiTheme="minorEastAsia" w:hAnsiTheme="minorEastAsia" w:eastAsiaTheme="minorEastAsia" w:cstheme="minorEastAsia"/>
                        <w:sz w:val="28"/>
                        <w:szCs w:val="52"/>
                      </w:rPr>
                      <w:instrText xml:space="preserve"> PAGE  \* MERGEFORMAT </w:instrText>
                    </w:r>
                    <w:r>
                      <w:rPr>
                        <w:rFonts w:hint="eastAsia" w:asciiTheme="minorEastAsia" w:hAnsiTheme="minorEastAsia" w:eastAsiaTheme="minorEastAsia" w:cstheme="minorEastAsia"/>
                        <w:sz w:val="28"/>
                        <w:szCs w:val="52"/>
                      </w:rPr>
                      <w:fldChar w:fldCharType="separate"/>
                    </w:r>
                    <w:r>
                      <w:rPr>
                        <w:rFonts w:hint="eastAsia" w:asciiTheme="minorEastAsia" w:hAnsiTheme="minorEastAsia" w:eastAsiaTheme="minorEastAsia" w:cstheme="minorEastAsia"/>
                        <w:sz w:val="28"/>
                        <w:szCs w:val="52"/>
                      </w:rPr>
                      <w:t>1</w:t>
                    </w:r>
                    <w:r>
                      <w:rPr>
                        <w:rFonts w:hint="eastAsia" w:asciiTheme="minorEastAsia" w:hAnsiTheme="minorEastAsia" w:eastAsiaTheme="minorEastAsia" w:cstheme="minorEastAsia"/>
                        <w:sz w:val="28"/>
                        <w:szCs w:val="52"/>
                      </w:rPr>
                      <w:fldChar w:fldCharType="end"/>
                    </w:r>
                    <w:r>
                      <w:rPr>
                        <w:rFonts w:hint="eastAsia" w:asciiTheme="minorEastAsia" w:hAnsiTheme="minorEastAsia" w:eastAsiaTheme="minorEastAsia" w:cstheme="minorEastAsia"/>
                        <w:sz w:val="28"/>
                        <w:szCs w:val="5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C1E5FD"/>
    <w:multiLevelType w:val="singleLevel"/>
    <w:tmpl w:val="8BC1E5FD"/>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961CAE"/>
    <w:rsid w:val="057C19CF"/>
    <w:rsid w:val="07992EF9"/>
    <w:rsid w:val="1381280E"/>
    <w:rsid w:val="1CEE0E9A"/>
    <w:rsid w:val="1DD932ED"/>
    <w:rsid w:val="1F8C33CB"/>
    <w:rsid w:val="20D51287"/>
    <w:rsid w:val="21A01829"/>
    <w:rsid w:val="2408722E"/>
    <w:rsid w:val="26F36977"/>
    <w:rsid w:val="2AD7721E"/>
    <w:rsid w:val="2B593A95"/>
    <w:rsid w:val="34450A6C"/>
    <w:rsid w:val="38CE5AC2"/>
    <w:rsid w:val="3F2F75E0"/>
    <w:rsid w:val="43010529"/>
    <w:rsid w:val="4C177634"/>
    <w:rsid w:val="597E5179"/>
    <w:rsid w:val="5BE04EA2"/>
    <w:rsid w:val="61150059"/>
    <w:rsid w:val="620C5752"/>
    <w:rsid w:val="62961CAE"/>
    <w:rsid w:val="66E0476B"/>
    <w:rsid w:val="69730334"/>
    <w:rsid w:val="6B74383E"/>
    <w:rsid w:val="792C76C0"/>
    <w:rsid w:val="7BED7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jc w:val="center"/>
      <w:outlineLvl w:val="0"/>
    </w:pPr>
    <w:rPr>
      <w:rFonts w:ascii="Arial" w:hAnsi="Arial"/>
      <w:b/>
      <w:sz w:val="32"/>
    </w:rPr>
  </w:style>
  <w:style w:type="paragraph" w:styleId="4">
    <w:name w:val="Body Text"/>
    <w:basedOn w:val="1"/>
    <w:next w:val="5"/>
    <w:qFormat/>
    <w:uiPriority w:val="0"/>
    <w:pPr>
      <w:spacing w:after="120" w:afterLines="0" w:afterAutospacing="0"/>
    </w:pPr>
  </w:style>
  <w:style w:type="paragraph" w:customStyle="1" w:styleId="5">
    <w:name w:val="正文部分 Char Char Char"/>
    <w:basedOn w:val="4"/>
    <w:next w:val="6"/>
    <w:qFormat/>
    <w:uiPriority w:val="99"/>
    <w:pPr>
      <w:adjustRightInd w:val="0"/>
      <w:spacing w:line="460" w:lineRule="exact"/>
      <w:textAlignment w:val="baseline"/>
    </w:pPr>
    <w:rPr>
      <w:sz w:val="24"/>
    </w:rPr>
  </w:style>
  <w:style w:type="paragraph" w:customStyle="1" w:styleId="6">
    <w:name w:val="章标题"/>
    <w:basedOn w:val="2"/>
    <w:qFormat/>
    <w:uiPriority w:val="99"/>
    <w:pPr>
      <w:spacing w:before="0" w:after="0" w:line="360" w:lineRule="auto"/>
    </w:pPr>
    <w:rPr>
      <w:rFonts w:ascii="Cambria" w:hAnsi="Cambria" w:cs="Times New Roman"/>
      <w:kern w:val="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5235</Words>
  <Characters>5313</Characters>
  <Lines>0</Lines>
  <Paragraphs>0</Paragraphs>
  <TotalTime>34</TotalTime>
  <ScaleCrop>false</ScaleCrop>
  <LinksUpToDate>false</LinksUpToDate>
  <CharactersWithSpaces>5336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2025-04-27T03:45:00Z</dcterms:created>
  <dc:creator>泡面</dc:creator>
  <cp:lastModifiedBy>范竹茵</cp:lastModifiedBy>
  <cp:lastPrinted>2026-03-25T06:15:00Z</cp:lastPrinted>
  <dcterms:modified xsi:type="dcterms:W3CDTF">2026-07-03T08:07:34Z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70BFC930B5DD4B2EA5E8620E55C8D939_11</vt:lpwstr>
  </property>
  <property fmtid="{D5CDD505-2E9C-101B-9397-08002B2CF9AE}" pid="4" name="KSOTemplateDocerSaveRecord">
    <vt:lpwstr>eyJoZGlkIjoiOGIwOTIyNWRmMGEyOTg0MGNkOWU4OGQ0MWY3NDhhNzMiLCJ1c2VySWQiOiIxNjQ2MDUxMTg4In0=</vt:lpwstr>
  </property>
</Properties>
</file>