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447C3">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000000"/>
          <w:kern w:val="0"/>
          <w:sz w:val="43"/>
          <w:szCs w:val="43"/>
          <w:lang w:val="en-US" w:eastAsia="zh-CN"/>
        </w:rPr>
      </w:pPr>
      <w:r>
        <w:rPr>
          <w:rFonts w:hint="eastAsia" w:ascii="方正小标宋简体" w:hAnsi="方正小标宋简体" w:eastAsia="方正小标宋简体" w:cs="方正小标宋简体"/>
          <w:color w:val="000000"/>
          <w:kern w:val="0"/>
          <w:sz w:val="43"/>
          <w:szCs w:val="43"/>
          <w:lang w:val="en-US" w:eastAsia="zh-CN"/>
        </w:rPr>
        <w:t>中共滦平县发展和改革局党组关于巡察整改</w:t>
      </w:r>
    </w:p>
    <w:p w14:paraId="0C0B11F4">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000000"/>
          <w:kern w:val="0"/>
          <w:sz w:val="43"/>
          <w:szCs w:val="43"/>
          <w:lang w:val="en-US" w:eastAsia="zh-CN"/>
        </w:rPr>
      </w:pPr>
      <w:r>
        <w:rPr>
          <w:rFonts w:hint="eastAsia" w:ascii="方正小标宋简体" w:hAnsi="方正小标宋简体" w:eastAsia="方正小标宋简体" w:cs="方正小标宋简体"/>
          <w:color w:val="000000"/>
          <w:kern w:val="0"/>
          <w:sz w:val="43"/>
          <w:szCs w:val="43"/>
          <w:lang w:val="en-US" w:eastAsia="zh-CN"/>
        </w:rPr>
        <w:t>情况的通报</w:t>
      </w:r>
    </w:p>
    <w:p w14:paraId="6E07C606">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auto"/>
        <w:rPr>
          <w:rFonts w:hint="eastAsia" w:ascii="仿宋_GB2312" w:hAnsi="宋体" w:eastAsia="仿宋_GB2312" w:cs="仿宋_GB2312"/>
          <w:color w:val="000000"/>
          <w:kern w:val="0"/>
          <w:sz w:val="31"/>
          <w:szCs w:val="31"/>
          <w:lang w:val="en-US" w:eastAsia="zh-CN"/>
        </w:rPr>
      </w:pPr>
    </w:p>
    <w:p w14:paraId="53781A95">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根据县委巡察工作统一部署，县委第三巡察组于</w:t>
      </w:r>
      <w:r>
        <w:rPr>
          <w:rFonts w:hint="eastAsia" w:ascii="仿宋_GB2312" w:hAnsi="仿宋_GB2312" w:eastAsia="仿宋_GB2312" w:cs="仿宋_GB2312"/>
          <w:sz w:val="32"/>
          <w:szCs w:val="32"/>
          <w:lang w:val="en-US" w:eastAsia="zh-CN"/>
        </w:rPr>
        <w:t>2025年4月15日至6月15日对我局党组开展常规巡察，9月16日正式反馈巡察意见。</w:t>
      </w:r>
      <w:r>
        <w:rPr>
          <w:rFonts w:hint="eastAsia" w:ascii="仿宋_GB2312" w:hAnsi="仿宋_GB2312" w:eastAsia="仿宋_GB2312" w:cs="仿宋_GB2312"/>
          <w:sz w:val="32"/>
          <w:szCs w:val="32"/>
        </w:rPr>
        <w:t>按照巡察</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要求，现将我局</w:t>
      </w:r>
      <w:r>
        <w:rPr>
          <w:rFonts w:hint="eastAsia" w:ascii="仿宋_GB2312" w:hAnsi="仿宋_GB2312" w:eastAsia="仿宋_GB2312" w:cs="仿宋_GB2312"/>
          <w:sz w:val="32"/>
          <w:szCs w:val="32"/>
          <w:lang w:eastAsia="zh-CN"/>
        </w:rPr>
        <w:t>巡察</w:t>
      </w:r>
      <w:r>
        <w:rPr>
          <w:rFonts w:hint="eastAsia" w:ascii="仿宋_GB2312" w:hAnsi="仿宋_GB2312" w:eastAsia="仿宋_GB2312" w:cs="仿宋_GB2312"/>
          <w:sz w:val="32"/>
          <w:szCs w:val="32"/>
        </w:rPr>
        <w:t>整改情况予以公开，接受社会各界监督。</w:t>
      </w:r>
    </w:p>
    <w:p w14:paraId="74CCE0BF">
      <w:pPr>
        <w:keepNext w:val="0"/>
        <w:keepLines w:val="0"/>
        <w:pageBreakBefore w:val="0"/>
        <w:widowControl/>
        <w:numPr>
          <w:ilvl w:val="0"/>
          <w:numId w:val="0"/>
        </w:numPr>
        <w:suppressLineNumbers w:val="0"/>
        <w:kinsoku/>
        <w:wordWrap/>
        <w:overflowPunct/>
        <w:topLinePunct w:val="0"/>
        <w:autoSpaceDE/>
        <w:autoSpaceDN/>
        <w:bidi w:val="0"/>
        <w:adjustRightInd/>
        <w:snapToGrid/>
        <w:spacing w:line="554" w:lineRule="exact"/>
        <w:ind w:firstLine="640" w:firstLineChars="200"/>
        <w:jc w:val="both"/>
        <w:textAlignment w:val="auto"/>
        <w:rPr>
          <w:rFonts w:hint="eastAsia" w:ascii="仿宋_GB2312" w:hAnsi="宋体" w:eastAsia="仿宋_GB2312" w:cs="仿宋_GB2312"/>
          <w:color w:val="000000"/>
          <w:kern w:val="0"/>
          <w:sz w:val="31"/>
          <w:szCs w:val="31"/>
        </w:rPr>
      </w:pPr>
      <w:r>
        <w:rPr>
          <w:rFonts w:hint="eastAsia" w:ascii="黑体" w:hAnsi="宋体" w:eastAsia="黑体" w:cs="黑体"/>
          <w:color w:val="000000"/>
          <w:kern w:val="0"/>
          <w:sz w:val="32"/>
          <w:szCs w:val="32"/>
          <w:lang w:val="en-US" w:eastAsia="zh-CN" w:bidi="ar"/>
        </w:rPr>
        <w:t>一、总体情况</w:t>
      </w:r>
    </w:p>
    <w:p w14:paraId="5AE344EA">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rFonts w:hint="eastAsia"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t>局</w:t>
      </w:r>
      <w:r>
        <w:rPr>
          <w:rFonts w:hint="eastAsia" w:ascii="仿宋_GB2312" w:hAnsi="宋体" w:eastAsia="仿宋_GB2312" w:cs="仿宋_GB2312"/>
          <w:color w:val="000000"/>
          <w:kern w:val="0"/>
          <w:sz w:val="31"/>
          <w:szCs w:val="31"/>
          <w:lang w:eastAsia="zh-CN"/>
        </w:rPr>
        <w:t>党组</w:t>
      </w:r>
      <w:r>
        <w:rPr>
          <w:rFonts w:hint="eastAsia" w:ascii="仿宋_GB2312" w:hAnsi="宋体" w:eastAsia="仿宋_GB2312" w:cs="仿宋_GB2312"/>
          <w:color w:val="000000"/>
          <w:kern w:val="0"/>
          <w:sz w:val="31"/>
          <w:szCs w:val="31"/>
        </w:rPr>
        <w:t>高度重视此次</w:t>
      </w:r>
      <w:r>
        <w:rPr>
          <w:rFonts w:hint="eastAsia" w:ascii="仿宋_GB2312" w:hAnsi="宋体" w:eastAsia="仿宋_GB2312" w:cs="仿宋_GB2312"/>
          <w:color w:val="000000"/>
          <w:kern w:val="0"/>
          <w:sz w:val="31"/>
          <w:szCs w:val="31"/>
          <w:lang w:eastAsia="zh-CN"/>
        </w:rPr>
        <w:t>巡察</w:t>
      </w:r>
      <w:r>
        <w:rPr>
          <w:rFonts w:hint="eastAsia" w:ascii="仿宋_GB2312" w:hAnsi="宋体" w:eastAsia="仿宋_GB2312" w:cs="仿宋_GB2312"/>
          <w:color w:val="000000"/>
          <w:kern w:val="0"/>
          <w:sz w:val="31"/>
          <w:szCs w:val="31"/>
        </w:rPr>
        <w:t>整改工作，将其作为严肃的政治任务和提升治理效能的重要契机，坚决做到照单全收、立行立改、标本兼治。</w:t>
      </w:r>
      <w:r>
        <w:rPr>
          <w:rFonts w:hint="eastAsia" w:ascii="楷体_GB2312" w:hAnsi="楷体_GB2312" w:eastAsia="楷体_GB2312" w:cs="楷体_GB2312"/>
          <w:b/>
          <w:bCs/>
          <w:color w:val="000000"/>
          <w:kern w:val="0"/>
          <w:sz w:val="31"/>
          <w:szCs w:val="31"/>
          <w:lang w:eastAsia="zh-CN"/>
        </w:rPr>
        <w:t>（一）</w:t>
      </w:r>
      <w:r>
        <w:rPr>
          <w:rFonts w:hint="eastAsia" w:ascii="楷体_GB2312" w:hAnsi="楷体_GB2312" w:eastAsia="楷体_GB2312" w:cs="楷体_GB2312"/>
          <w:b/>
          <w:bCs/>
          <w:color w:val="000000"/>
          <w:kern w:val="0"/>
          <w:sz w:val="31"/>
          <w:szCs w:val="31"/>
        </w:rPr>
        <w:t>强化组织领导</w:t>
      </w:r>
      <w:r>
        <w:rPr>
          <w:rFonts w:hint="eastAsia" w:ascii="楷体_GB2312" w:hAnsi="楷体_GB2312" w:eastAsia="楷体_GB2312" w:cs="楷体_GB2312"/>
          <w:b/>
          <w:bCs/>
          <w:color w:val="000000"/>
          <w:kern w:val="0"/>
          <w:sz w:val="31"/>
          <w:szCs w:val="31"/>
          <w:lang w:eastAsia="zh-CN"/>
        </w:rPr>
        <w:t>。</w:t>
      </w:r>
      <w:r>
        <w:rPr>
          <w:rFonts w:hint="eastAsia" w:ascii="仿宋_GB2312" w:hAnsi="宋体" w:eastAsia="仿宋_GB2312" w:cs="仿宋_GB2312"/>
          <w:color w:val="000000"/>
          <w:kern w:val="0"/>
          <w:sz w:val="31"/>
          <w:szCs w:val="31"/>
        </w:rPr>
        <w:t>成立以局主要负责同志为组长，分管领导为副组长，各股室负责人为成员的整改工作领导小组，下设办公室统筹推进日常工作，形成“主要领导亲自抓、分管领导具体抓、股室负责人直接抓”的工作格局。</w:t>
      </w:r>
      <w:r>
        <w:rPr>
          <w:rFonts w:hint="eastAsia" w:ascii="楷体_GB2312" w:hAnsi="楷体_GB2312" w:eastAsia="楷体_GB2312" w:cs="楷体_GB2312"/>
          <w:b/>
          <w:bCs/>
          <w:color w:val="000000"/>
          <w:kern w:val="0"/>
          <w:sz w:val="31"/>
          <w:szCs w:val="31"/>
          <w:lang w:eastAsia="zh-CN"/>
        </w:rPr>
        <w:t>（二）</w:t>
      </w:r>
      <w:r>
        <w:rPr>
          <w:rFonts w:hint="eastAsia" w:ascii="楷体_GB2312" w:hAnsi="楷体_GB2312" w:eastAsia="楷体_GB2312" w:cs="楷体_GB2312"/>
          <w:b/>
          <w:bCs/>
          <w:color w:val="000000"/>
          <w:kern w:val="0"/>
          <w:sz w:val="31"/>
          <w:szCs w:val="31"/>
        </w:rPr>
        <w:t>细化整改方案</w:t>
      </w:r>
      <w:r>
        <w:rPr>
          <w:rFonts w:hint="eastAsia" w:ascii="楷体_GB2312" w:hAnsi="楷体_GB2312" w:eastAsia="楷体_GB2312" w:cs="楷体_GB2312"/>
          <w:b/>
          <w:bCs/>
          <w:color w:val="000000"/>
          <w:kern w:val="0"/>
          <w:sz w:val="31"/>
          <w:szCs w:val="31"/>
          <w:lang w:eastAsia="zh-CN"/>
        </w:rPr>
        <w:t>。</w:t>
      </w:r>
      <w:r>
        <w:rPr>
          <w:rFonts w:hint="eastAsia" w:ascii="仿宋_GB2312" w:hAnsi="宋体" w:eastAsia="仿宋_GB2312" w:cs="仿宋_GB2312"/>
          <w:color w:val="000000"/>
          <w:kern w:val="0"/>
          <w:sz w:val="31"/>
          <w:szCs w:val="31"/>
        </w:rPr>
        <w:t>对反馈的</w:t>
      </w:r>
      <w:r>
        <w:rPr>
          <w:rFonts w:hint="eastAsia" w:ascii="仿宋_GB2312" w:hAnsi="宋体" w:eastAsia="仿宋_GB2312" w:cs="仿宋_GB2312"/>
          <w:color w:val="000000"/>
          <w:kern w:val="0"/>
          <w:sz w:val="31"/>
          <w:szCs w:val="31"/>
          <w:lang w:val="en-US" w:eastAsia="zh-CN"/>
        </w:rPr>
        <w:t>12个方面23</w:t>
      </w:r>
      <w:r>
        <w:rPr>
          <w:rFonts w:hint="eastAsia" w:ascii="仿宋_GB2312" w:hAnsi="宋体" w:eastAsia="仿宋_GB2312" w:cs="仿宋_GB2312"/>
          <w:color w:val="000000"/>
          <w:kern w:val="0"/>
          <w:sz w:val="31"/>
          <w:szCs w:val="31"/>
        </w:rPr>
        <w:t>个具体问题，逐项梳理剖析根源，制定《整改工作方案》，建立“问题清单、责任清单、时限清单”，明确责任股室、责任人和完成时限，实行台账式管理、销号式推进。</w:t>
      </w:r>
      <w:r>
        <w:rPr>
          <w:rFonts w:hint="eastAsia" w:ascii="楷体_GB2312" w:hAnsi="楷体_GB2312" w:eastAsia="楷体_GB2312" w:cs="楷体_GB2312"/>
          <w:b/>
          <w:bCs/>
          <w:color w:val="000000"/>
          <w:kern w:val="0"/>
          <w:sz w:val="31"/>
          <w:szCs w:val="31"/>
          <w:lang w:eastAsia="zh-CN"/>
        </w:rPr>
        <w:t>（三）严格督促落实。</w:t>
      </w:r>
      <w:r>
        <w:rPr>
          <w:rFonts w:hint="eastAsia" w:ascii="仿宋_GB2312" w:hAnsi="宋体" w:eastAsia="仿宋_GB2312" w:cs="仿宋_GB2312"/>
          <w:color w:val="000000"/>
          <w:kern w:val="0"/>
          <w:sz w:val="31"/>
          <w:szCs w:val="31"/>
        </w:rPr>
        <w:t>领导小组定期召开会议调度进展，对整改不力、进展缓慢的事项及时督办提醒，确保整改工作不走过场、不留死角。截至2026年</w:t>
      </w:r>
      <w:r>
        <w:rPr>
          <w:rFonts w:hint="eastAsia" w:ascii="仿宋_GB2312" w:hAnsi="宋体" w:eastAsia="仿宋_GB2312" w:cs="仿宋_GB2312"/>
          <w:color w:val="000000"/>
          <w:kern w:val="0"/>
          <w:sz w:val="31"/>
          <w:szCs w:val="31"/>
          <w:lang w:val="en-US" w:eastAsia="zh-CN"/>
        </w:rPr>
        <w:t>3</w:t>
      </w:r>
      <w:r>
        <w:rPr>
          <w:rFonts w:hint="eastAsia" w:ascii="仿宋_GB2312" w:hAnsi="宋体" w:eastAsia="仿宋_GB2312" w:cs="仿宋_GB2312"/>
          <w:color w:val="000000"/>
          <w:kern w:val="0"/>
          <w:sz w:val="31"/>
          <w:szCs w:val="31"/>
        </w:rPr>
        <w:t>月</w:t>
      </w:r>
      <w:r>
        <w:rPr>
          <w:rFonts w:hint="eastAsia" w:ascii="仿宋_GB2312" w:hAnsi="宋体" w:eastAsia="仿宋_GB2312" w:cs="仿宋_GB2312"/>
          <w:color w:val="000000"/>
          <w:kern w:val="0"/>
          <w:sz w:val="31"/>
          <w:szCs w:val="31"/>
          <w:lang w:val="en-US" w:eastAsia="zh-CN"/>
        </w:rPr>
        <w:t>10</w:t>
      </w:r>
      <w:r>
        <w:rPr>
          <w:rFonts w:hint="eastAsia" w:ascii="仿宋_GB2312" w:hAnsi="宋体" w:eastAsia="仿宋_GB2312" w:cs="仿宋_GB2312"/>
          <w:color w:val="000000"/>
          <w:kern w:val="0"/>
          <w:sz w:val="31"/>
          <w:szCs w:val="31"/>
        </w:rPr>
        <w:t>日，</w:t>
      </w:r>
      <w:r>
        <w:rPr>
          <w:rFonts w:hint="eastAsia" w:ascii="仿宋_GB2312" w:hAnsi="宋体" w:eastAsia="仿宋_GB2312" w:cs="仿宋_GB2312"/>
          <w:color w:val="000000"/>
          <w:kern w:val="0"/>
          <w:sz w:val="31"/>
          <w:szCs w:val="31"/>
          <w:lang w:val="en-US" w:eastAsia="zh-CN"/>
        </w:rPr>
        <w:t>县委第三巡察组反馈意见梳理出的12个方面23个具体问题，已全部整改完成；其中需长期坚持的整改事项，均已建立健全长效工作机制，持续巩固深化整改成效。</w:t>
      </w:r>
    </w:p>
    <w:p w14:paraId="7B42CB6D">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rFonts w:hint="eastAsia" w:ascii="黑体" w:hAnsi="黑体" w:eastAsia="黑体" w:cs="黑体"/>
          <w:color w:val="000000"/>
          <w:kern w:val="0"/>
          <w:sz w:val="31"/>
          <w:szCs w:val="31"/>
        </w:rPr>
      </w:pPr>
      <w:r>
        <w:rPr>
          <w:rFonts w:hint="eastAsia" w:ascii="黑体" w:hAnsi="黑体" w:eastAsia="黑体" w:cs="黑体"/>
          <w:color w:val="000000"/>
          <w:kern w:val="0"/>
          <w:sz w:val="31"/>
          <w:szCs w:val="31"/>
        </w:rPr>
        <w:t>二、反馈问题整改落实情况</w:t>
      </w:r>
    </w:p>
    <w:p w14:paraId="73A69ACA">
      <w:pPr>
        <w:keepNext w:val="0"/>
        <w:keepLines w:val="0"/>
        <w:pageBreakBefore w:val="0"/>
        <w:widowControl/>
        <w:suppressLineNumbers w:val="0"/>
        <w:kinsoku/>
        <w:wordWrap/>
        <w:overflowPunct/>
        <w:topLinePunct w:val="0"/>
        <w:autoSpaceDE/>
        <w:autoSpaceDN/>
        <w:adjustRightInd/>
        <w:snapToGrid/>
        <w:spacing w:line="576" w:lineRule="exact"/>
        <w:ind w:firstLine="622" w:firstLineChars="200"/>
        <w:rPr>
          <w:rFonts w:hint="eastAsia" w:ascii="楷体_GB2312" w:eastAsia="楷体_GB2312" w:cs="楷体_GB2312"/>
          <w:b/>
          <w:bCs/>
        </w:rPr>
      </w:pPr>
      <w:r>
        <w:rPr>
          <w:rFonts w:hint="eastAsia" w:ascii="楷体_GB2312" w:hAnsi="宋体" w:eastAsia="楷体_GB2312" w:cs="楷体_GB2312"/>
          <w:b/>
          <w:bCs/>
          <w:color w:val="000000"/>
          <w:kern w:val="0"/>
          <w:sz w:val="31"/>
          <w:szCs w:val="31"/>
          <w:lang w:val="en-US" w:eastAsia="zh-CN"/>
        </w:rPr>
        <w:t>（一）紧盯遗留问题，推动上轮巡察整改“清仓见底”</w:t>
      </w:r>
    </w:p>
    <w:p w14:paraId="038055F5">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1.关于“常规巡察整改档案未进行归档、系统整理，还存在部分整改档案缺失”的问题。</w:t>
      </w:r>
    </w:p>
    <w:p w14:paraId="3AA4B54D">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rFonts w:ascii="仿宋_GB2312" w:hAnsi="宋体" w:eastAsia="仿宋_GB2312" w:cs="仿宋_GB2312"/>
          <w:color w:val="000000"/>
          <w:kern w:val="0"/>
          <w:sz w:val="31"/>
          <w:szCs w:val="31"/>
          <w:lang w:val="en-US" w:eastAsia="zh-CN"/>
        </w:rPr>
      </w:pPr>
      <w:r>
        <w:rPr>
          <w:rFonts w:ascii="仿宋_GB2312" w:hAnsi="宋体" w:eastAsia="仿宋_GB2312" w:cs="仿宋_GB2312"/>
          <w:color w:val="000000"/>
          <w:kern w:val="0"/>
          <w:sz w:val="31"/>
          <w:szCs w:val="31"/>
          <w:lang w:val="en-US" w:eastAsia="zh-CN"/>
        </w:rPr>
        <w:t>立即组织开展档案专项整理工作，全面补齐缺失材料，完成所有整改档案规范归档；同时压实档案管理责任，完善档案管理制度，加强业务培训指导，全面提升工作人员档案管理专业素养，实现档案管理规范化、标准化。</w:t>
      </w:r>
    </w:p>
    <w:p w14:paraId="5D6C7DE6">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2.关于“粮食购销系统专项巡察整改不到位，缺乏举一反三、巩固整改成效”的问题。</w:t>
      </w:r>
    </w:p>
    <w:p w14:paraId="76C13A2C">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ascii="仿宋_GB2312" w:hAnsi="宋体" w:eastAsia="仿宋_GB2312" w:cs="仿宋_GB2312"/>
          <w:color w:val="000000"/>
          <w:kern w:val="0"/>
          <w:sz w:val="31"/>
          <w:szCs w:val="31"/>
          <w:lang w:val="en-US" w:eastAsia="zh-CN"/>
        </w:rPr>
      </w:pPr>
      <w:r>
        <w:rPr>
          <w:rFonts w:ascii="仿宋_GB2312" w:hAnsi="宋体" w:eastAsia="仿宋_GB2312" w:cs="仿宋_GB2312"/>
          <w:b/>
          <w:bCs/>
          <w:color w:val="000000"/>
          <w:kern w:val="0"/>
          <w:sz w:val="31"/>
          <w:szCs w:val="31"/>
          <w:lang w:val="en-US" w:eastAsia="zh-CN"/>
        </w:rPr>
        <w:t>一是</w:t>
      </w:r>
      <w:r>
        <w:rPr>
          <w:rFonts w:ascii="仿宋_GB2312" w:hAnsi="宋体" w:eastAsia="仿宋_GB2312" w:cs="仿宋_GB2312"/>
          <w:color w:val="000000"/>
          <w:kern w:val="0"/>
          <w:sz w:val="31"/>
          <w:szCs w:val="31"/>
          <w:lang w:val="en-US" w:eastAsia="zh-CN"/>
        </w:rPr>
        <w:t>国储库竣工验收问题，已完成工程验收并获得竣工验收报告，整改完毕；</w:t>
      </w:r>
      <w:r>
        <w:rPr>
          <w:rFonts w:ascii="仿宋_GB2312" w:hAnsi="宋体" w:eastAsia="仿宋_GB2312" w:cs="仿宋_GB2312"/>
          <w:b/>
          <w:bCs/>
          <w:color w:val="000000"/>
          <w:kern w:val="0"/>
          <w:sz w:val="31"/>
          <w:szCs w:val="31"/>
          <w:lang w:val="en-US" w:eastAsia="zh-CN"/>
        </w:rPr>
        <w:t>二是</w:t>
      </w:r>
      <w:r>
        <w:rPr>
          <w:rFonts w:ascii="仿宋_GB2312" w:hAnsi="宋体" w:eastAsia="仿宋_GB2312" w:cs="仿宋_GB2312"/>
          <w:color w:val="000000"/>
          <w:kern w:val="0"/>
          <w:sz w:val="31"/>
          <w:szCs w:val="31"/>
          <w:lang w:val="en-US" w:eastAsia="zh-CN"/>
        </w:rPr>
        <w:t>大屯、金沟屯收储站欠缴租金问题，经局班子会议研究，以欠缴租金抵顶因大屯收储站院墙倒塌致人死亡造成的损失，金沟屯粮站租金抵顶因维修坍塌墙体和房屋渗漏费用，整改完毕；</w:t>
      </w:r>
      <w:r>
        <w:rPr>
          <w:rFonts w:ascii="仿宋_GB2312" w:hAnsi="宋体" w:eastAsia="仿宋_GB2312" w:cs="仿宋_GB2312"/>
          <w:b/>
          <w:bCs/>
          <w:color w:val="000000"/>
          <w:kern w:val="0"/>
          <w:sz w:val="31"/>
          <w:szCs w:val="31"/>
          <w:lang w:val="en-US" w:eastAsia="zh-CN"/>
        </w:rPr>
        <w:t>三是</w:t>
      </w:r>
      <w:r>
        <w:rPr>
          <w:rFonts w:ascii="仿宋_GB2312" w:hAnsi="宋体" w:eastAsia="仿宋_GB2312" w:cs="仿宋_GB2312"/>
          <w:color w:val="000000"/>
          <w:kern w:val="0"/>
          <w:sz w:val="31"/>
          <w:szCs w:val="31"/>
          <w:lang w:val="en-US" w:eastAsia="zh-CN"/>
        </w:rPr>
        <w:t>瑞庆丰公司资产监管问题，双方已完成资产移交手续及法人变更，资产交由瑞庆丰公司管理，我局已制定并下发《滦平县粮食和物资储备局下辖国有企业固定资产监管制度》，确保国有资产不流失，整改完成；</w:t>
      </w:r>
      <w:r>
        <w:rPr>
          <w:rFonts w:ascii="仿宋_GB2312" w:hAnsi="宋体" w:eastAsia="仿宋_GB2312" w:cs="仿宋_GB2312"/>
          <w:b/>
          <w:bCs/>
          <w:color w:val="000000"/>
          <w:kern w:val="0"/>
          <w:sz w:val="31"/>
          <w:szCs w:val="31"/>
          <w:lang w:val="en-US" w:eastAsia="zh-CN"/>
        </w:rPr>
        <w:t>四是</w:t>
      </w:r>
      <w:r>
        <w:rPr>
          <w:rFonts w:ascii="仿宋_GB2312" w:hAnsi="宋体" w:eastAsia="仿宋_GB2312" w:cs="仿宋_GB2312"/>
          <w:color w:val="000000"/>
          <w:kern w:val="0"/>
          <w:sz w:val="31"/>
          <w:szCs w:val="31"/>
          <w:lang w:val="en-US" w:eastAsia="zh-CN"/>
        </w:rPr>
        <w:t>针对省级丰业公司诸多问题，我局已督促企业严格整改，同时纪委给予企业相关人员处分决定，乱发津补贴已悉数退回至纪委账户，办公用房超标已腾空办公室，公款私存已注销个人账户，转入对公账户，同时督促企业完善公司内部制度，财务制度等，我局将严格按照县属国有企业管理规定对下辖粮企加大监管力度。</w:t>
      </w:r>
    </w:p>
    <w:p w14:paraId="0EE0A4F9">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楷体_GB2312" w:hAnsi="宋体" w:eastAsia="楷体_GB2312" w:cs="楷体_GB2312"/>
          <w:b/>
          <w:bCs/>
          <w:color w:val="000000"/>
          <w:kern w:val="0"/>
          <w:sz w:val="31"/>
          <w:szCs w:val="31"/>
          <w:lang w:val="en-US" w:eastAsia="zh-CN"/>
        </w:rPr>
      </w:pPr>
      <w:r>
        <w:rPr>
          <w:rFonts w:hint="eastAsia" w:ascii="楷体_GB2312" w:hAnsi="宋体" w:eastAsia="楷体_GB2312" w:cs="楷体_GB2312"/>
          <w:b/>
          <w:bCs/>
          <w:color w:val="000000"/>
          <w:kern w:val="0"/>
          <w:sz w:val="31"/>
          <w:szCs w:val="31"/>
          <w:lang w:val="en-US" w:eastAsia="zh-CN"/>
        </w:rPr>
        <w:t>（二）聚焦本轮问题，确保巡察反馈整改“件件落实”</w:t>
      </w:r>
    </w:p>
    <w:p w14:paraId="40FEA298">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1.关于“思想理论学习重视程度不高”的问题。</w:t>
      </w:r>
    </w:p>
    <w:p w14:paraId="668FA8F5">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val="0"/>
          <w:bCs w:val="0"/>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一是</w:t>
      </w:r>
      <w:r>
        <w:rPr>
          <w:rFonts w:hint="eastAsia" w:ascii="仿宋_GB2312" w:hAnsi="宋体" w:eastAsia="仿宋_GB2312" w:cs="仿宋_GB2312"/>
          <w:b w:val="0"/>
          <w:bCs w:val="0"/>
          <w:color w:val="000000"/>
          <w:kern w:val="0"/>
          <w:sz w:val="31"/>
          <w:szCs w:val="31"/>
          <w:lang w:val="en-US" w:eastAsia="zh-CN"/>
        </w:rPr>
        <w:t>针对“第一议题”制度执行不到位，完善党组会议制度，规范会议议程，将习近平新时代中国特色社会主义思想等重要内容作为党组会议首要学习内容，严格落实“第一议题”制度；</w:t>
      </w:r>
      <w:r>
        <w:rPr>
          <w:rFonts w:hint="eastAsia" w:ascii="仿宋_GB2312" w:hAnsi="宋体" w:eastAsia="仿宋_GB2312" w:cs="仿宋_GB2312"/>
          <w:b/>
          <w:bCs/>
          <w:color w:val="000000"/>
          <w:kern w:val="0"/>
          <w:sz w:val="31"/>
          <w:szCs w:val="31"/>
          <w:lang w:val="en-US" w:eastAsia="zh-CN"/>
        </w:rPr>
        <w:t>二是</w:t>
      </w:r>
      <w:r>
        <w:rPr>
          <w:rFonts w:hint="eastAsia" w:ascii="仿宋_GB2312" w:hAnsi="宋体" w:eastAsia="仿宋_GB2312" w:cs="仿宋_GB2312"/>
          <w:b w:val="0"/>
          <w:bCs w:val="0"/>
          <w:color w:val="000000"/>
          <w:kern w:val="0"/>
          <w:sz w:val="31"/>
          <w:szCs w:val="31"/>
          <w:lang w:val="en-US" w:eastAsia="zh-CN"/>
        </w:rPr>
        <w:t>针对学习质效不高，建立“理论学习—专题研讨—实践转化”闭环机制，明确研讨主题和实际问题，聚焦县域产业发展开展深度研讨，推动学用结合；</w:t>
      </w:r>
      <w:r>
        <w:rPr>
          <w:rFonts w:hint="eastAsia" w:ascii="仿宋_GB2312" w:hAnsi="宋体" w:eastAsia="仿宋_GB2312" w:cs="仿宋_GB2312"/>
          <w:b/>
          <w:bCs/>
          <w:color w:val="000000"/>
          <w:kern w:val="0"/>
          <w:sz w:val="31"/>
          <w:szCs w:val="31"/>
          <w:lang w:val="en-US" w:eastAsia="zh-CN"/>
        </w:rPr>
        <w:t>三是</w:t>
      </w:r>
      <w:r>
        <w:rPr>
          <w:rFonts w:hint="eastAsia" w:ascii="仿宋_GB2312" w:hAnsi="宋体" w:eastAsia="仿宋_GB2312" w:cs="仿宋_GB2312"/>
          <w:b w:val="0"/>
          <w:bCs w:val="0"/>
          <w:color w:val="000000"/>
          <w:kern w:val="0"/>
          <w:sz w:val="31"/>
          <w:szCs w:val="31"/>
          <w:lang w:val="en-US" w:eastAsia="zh-CN"/>
        </w:rPr>
        <w:t>针对党员干部学习教育督导不严，开展专项排查，对抄袭、雷同的心得体会和谈话记录责令重新撰写，建立学习成果审核把关机制，由党支部书记严格审核材料原创性和真实性。</w:t>
      </w:r>
    </w:p>
    <w:p w14:paraId="639CB392">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2.关于“宏观经济管理与规划欠缺精准”的问题。</w:t>
      </w:r>
    </w:p>
    <w:p w14:paraId="2498B209">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val="0"/>
          <w:bCs w:val="0"/>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一是</w:t>
      </w:r>
      <w:r>
        <w:rPr>
          <w:rFonts w:hint="eastAsia" w:ascii="仿宋_GB2312" w:hAnsi="宋体" w:eastAsia="仿宋_GB2312" w:cs="仿宋_GB2312"/>
          <w:b w:val="0"/>
          <w:bCs w:val="0"/>
          <w:color w:val="000000"/>
          <w:kern w:val="0"/>
          <w:sz w:val="31"/>
          <w:szCs w:val="31"/>
          <w:lang w:val="en-US" w:eastAsia="zh-CN"/>
        </w:rPr>
        <w:t>针对规划引领作用发挥不充分，结合县域实际深入开展调查研究，加强前瞻分析与可行性论证，对经济发展状况、产业结构等进行系统性梳理评估，高质量编制经济社会发展规划，加大招商引资力度，确保规划切实可行；</w:t>
      </w:r>
      <w:r>
        <w:rPr>
          <w:rFonts w:hint="eastAsia" w:ascii="仿宋_GB2312" w:hAnsi="宋体" w:eastAsia="仿宋_GB2312" w:cs="仿宋_GB2312"/>
          <w:b/>
          <w:bCs/>
          <w:color w:val="000000"/>
          <w:kern w:val="0"/>
          <w:sz w:val="31"/>
          <w:szCs w:val="31"/>
          <w:lang w:val="en-US" w:eastAsia="zh-CN"/>
        </w:rPr>
        <w:t>二是</w:t>
      </w:r>
      <w:r>
        <w:rPr>
          <w:rFonts w:hint="eastAsia" w:ascii="仿宋_GB2312" w:hAnsi="宋体" w:eastAsia="仿宋_GB2312" w:cs="仿宋_GB2312"/>
          <w:b w:val="0"/>
          <w:bCs w:val="0"/>
          <w:color w:val="000000"/>
          <w:kern w:val="0"/>
          <w:sz w:val="31"/>
          <w:szCs w:val="31"/>
          <w:lang w:val="en-US" w:eastAsia="zh-CN"/>
        </w:rPr>
        <w:t>针对经济形势研判前瞻性不足，加强全县经济形势监测分析，多维度对比指标数据，深入剖析下滑指标原因，提出应对举措，提升经济运行分析报告质量，确保各项指标平稳发展。</w:t>
      </w:r>
    </w:p>
    <w:p w14:paraId="6084B1F1">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3.关于“产业结构优化推进迟缓”的问题。</w:t>
      </w:r>
    </w:p>
    <w:p w14:paraId="16B0DA71">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val="0"/>
          <w:bCs w:val="0"/>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一是</w:t>
      </w:r>
      <w:r>
        <w:rPr>
          <w:rFonts w:hint="eastAsia" w:ascii="仿宋_GB2312" w:hAnsi="宋体" w:eastAsia="仿宋_GB2312" w:cs="仿宋_GB2312"/>
          <w:b w:val="0"/>
          <w:bCs w:val="0"/>
          <w:color w:val="000000"/>
          <w:kern w:val="0"/>
          <w:sz w:val="31"/>
          <w:szCs w:val="31"/>
          <w:lang w:val="en-US" w:eastAsia="zh-CN"/>
        </w:rPr>
        <w:t>针对产业发展失衡，推动采选企业延伸产业链、发展精深加工，聚焦新兴产业加大招商引资力度，优化营商环境和要素保障，7家铁选企业实施技改升级，建通装备制造项目投产运营，多元产业支撑体系逐步构建；</w:t>
      </w:r>
      <w:r>
        <w:rPr>
          <w:rFonts w:hint="eastAsia" w:ascii="仿宋_GB2312" w:hAnsi="宋体" w:eastAsia="仿宋_GB2312" w:cs="仿宋_GB2312"/>
          <w:b/>
          <w:bCs/>
          <w:color w:val="000000"/>
          <w:kern w:val="0"/>
          <w:sz w:val="31"/>
          <w:szCs w:val="31"/>
          <w:lang w:val="en-US" w:eastAsia="zh-CN"/>
        </w:rPr>
        <w:t>二是</w:t>
      </w:r>
      <w:r>
        <w:rPr>
          <w:rFonts w:hint="eastAsia" w:ascii="仿宋_GB2312" w:hAnsi="宋体" w:eastAsia="仿宋_GB2312" w:cs="仿宋_GB2312"/>
          <w:b w:val="0"/>
          <w:bCs w:val="0"/>
          <w:color w:val="000000"/>
          <w:kern w:val="0"/>
          <w:sz w:val="31"/>
          <w:szCs w:val="31"/>
          <w:lang w:val="en-US" w:eastAsia="zh-CN"/>
        </w:rPr>
        <w:t>针对铁选企业产业链延伸不足及共伴生资源综合利用差距，引导企业优化磨选工艺技术，推动产业链纵向延伸与横向拓展，新增4家选磷企业、3家尾矿选铜硫企业，承德宝通矿业通过优化工艺流程提升有价元素富集度，提高产品附加值。</w:t>
      </w:r>
    </w:p>
    <w:p w14:paraId="6081EFBE">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4.关于“统筹项目谋划持续用力不够”的问题。</w:t>
      </w:r>
    </w:p>
    <w:p w14:paraId="7C9DB188">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一是</w:t>
      </w:r>
      <w:r>
        <w:rPr>
          <w:rFonts w:hint="eastAsia" w:ascii="仿宋_GB2312" w:hAnsi="宋体" w:eastAsia="仿宋_GB2312" w:cs="仿宋_GB2312"/>
          <w:b w:val="0"/>
          <w:bCs w:val="0"/>
          <w:color w:val="000000"/>
          <w:kern w:val="0"/>
          <w:sz w:val="31"/>
          <w:szCs w:val="31"/>
          <w:lang w:val="en-US" w:eastAsia="zh-CN"/>
        </w:rPr>
        <w:t>针对储备项目覆盖面不全，精准对接国家政策导向，建立常态化项目谋划储备机制，动态更新项目储备库，截至目前已谋划储备2026年“三类”资金项目201个，总投资207.74亿元；</w:t>
      </w:r>
      <w:r>
        <w:rPr>
          <w:rFonts w:hint="eastAsia" w:ascii="仿宋_GB2312" w:hAnsi="宋体" w:eastAsia="仿宋_GB2312" w:cs="仿宋_GB2312"/>
          <w:b/>
          <w:bCs/>
          <w:color w:val="000000"/>
          <w:kern w:val="0"/>
          <w:sz w:val="31"/>
          <w:szCs w:val="31"/>
          <w:lang w:val="en-US" w:eastAsia="zh-CN"/>
        </w:rPr>
        <w:t>二是</w:t>
      </w:r>
      <w:r>
        <w:rPr>
          <w:rFonts w:hint="eastAsia" w:ascii="仿宋_GB2312" w:hAnsi="宋体" w:eastAsia="仿宋_GB2312" w:cs="仿宋_GB2312"/>
          <w:b w:val="0"/>
          <w:bCs w:val="0"/>
          <w:color w:val="000000"/>
          <w:kern w:val="0"/>
          <w:sz w:val="31"/>
          <w:szCs w:val="31"/>
          <w:lang w:val="en-US" w:eastAsia="zh-CN"/>
        </w:rPr>
        <w:t>针对项目谋划包装精准度不够，建立常态化政策学习机制，深化前期论证与可行性研究，督促完善项目前期踏勘工作，联系三方咨询公司修改城乡智慧能源电站项目可研报告，规范项目数据申报，确保与国家重大建设项目库数据一致。</w:t>
      </w:r>
    </w:p>
    <w:p w14:paraId="0317260B">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5.关于“固定资产投资调控乏力”的问题。</w:t>
      </w:r>
    </w:p>
    <w:p w14:paraId="27A00D58">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val="0"/>
          <w:bCs w:val="0"/>
          <w:color w:val="000000"/>
          <w:kern w:val="0"/>
          <w:sz w:val="31"/>
          <w:szCs w:val="31"/>
          <w:highlight w:val="none"/>
          <w:lang w:val="en-US" w:eastAsia="zh-CN"/>
        </w:rPr>
      </w:pPr>
      <w:r>
        <w:rPr>
          <w:rFonts w:hint="eastAsia" w:ascii="仿宋_GB2312" w:hAnsi="宋体" w:eastAsia="仿宋_GB2312" w:cs="仿宋_GB2312"/>
          <w:b/>
          <w:bCs/>
          <w:color w:val="000000"/>
          <w:kern w:val="0"/>
          <w:sz w:val="31"/>
          <w:szCs w:val="31"/>
          <w:lang w:val="en-US" w:eastAsia="zh-CN"/>
        </w:rPr>
        <w:t>一是</w:t>
      </w:r>
      <w:r>
        <w:rPr>
          <w:rFonts w:hint="eastAsia" w:ascii="仿宋_GB2312" w:hAnsi="宋体" w:eastAsia="仿宋_GB2312" w:cs="仿宋_GB2312"/>
          <w:b w:val="0"/>
          <w:bCs w:val="0"/>
          <w:color w:val="000000"/>
          <w:kern w:val="0"/>
          <w:sz w:val="31"/>
          <w:szCs w:val="31"/>
          <w:lang w:val="en-US" w:eastAsia="zh-CN"/>
        </w:rPr>
        <w:t>针对固定资产投资项目支撑接续不够，深入调研项目推进缓慢原因，会同金融机构、行业部门解决堵点难点问题，强化项目调度，</w:t>
      </w:r>
      <w:r>
        <w:rPr>
          <w:rFonts w:hint="eastAsia" w:ascii="仿宋_GB2312" w:hAnsi="宋体" w:eastAsia="仿宋_GB2312" w:cs="仿宋_GB2312"/>
          <w:b w:val="0"/>
          <w:bCs w:val="0"/>
          <w:color w:val="000000"/>
          <w:kern w:val="0"/>
          <w:sz w:val="31"/>
          <w:szCs w:val="31"/>
          <w:highlight w:val="none"/>
          <w:lang w:val="en-US" w:eastAsia="zh-CN"/>
        </w:rPr>
        <w:t>2025年</w:t>
      </w:r>
      <w:r>
        <w:rPr>
          <w:rFonts w:hint="eastAsia" w:ascii="仿宋_GB2312" w:hAnsi="宋体" w:eastAsia="仿宋_GB2312" w:cs="仿宋_GB2312"/>
          <w:b w:val="0"/>
          <w:bCs w:val="0"/>
          <w:color w:val="000000"/>
          <w:kern w:val="0"/>
          <w:sz w:val="31"/>
          <w:szCs w:val="31"/>
          <w:lang w:val="en-US" w:eastAsia="zh-CN"/>
        </w:rPr>
        <w:t>1-12月份全县固定资产投资增速达13%，超出年初计划7个百分点；</w:t>
      </w:r>
      <w:r>
        <w:rPr>
          <w:rFonts w:hint="eastAsia" w:ascii="仿宋_GB2312" w:hAnsi="宋体" w:eastAsia="仿宋_GB2312" w:cs="仿宋_GB2312"/>
          <w:b/>
          <w:bCs/>
          <w:color w:val="000000"/>
          <w:kern w:val="0"/>
          <w:sz w:val="31"/>
          <w:szCs w:val="31"/>
          <w:lang w:val="en-US" w:eastAsia="zh-CN"/>
        </w:rPr>
        <w:t>二是</w:t>
      </w:r>
      <w:r>
        <w:rPr>
          <w:rFonts w:hint="eastAsia" w:ascii="仿宋_GB2312" w:hAnsi="宋体" w:eastAsia="仿宋_GB2312" w:cs="仿宋_GB2312"/>
          <w:b w:val="0"/>
          <w:bCs w:val="0"/>
          <w:color w:val="000000"/>
          <w:kern w:val="0"/>
          <w:sz w:val="31"/>
          <w:szCs w:val="31"/>
          <w:lang w:val="en-US" w:eastAsia="zh-CN"/>
        </w:rPr>
        <w:t>针对新入库项目少、体量小，密切跟踪新开工项目，提前介入指导项目入库材料准备，依托国家政策谋划储备新项目，2025年6-12月累计新入库项</w:t>
      </w:r>
      <w:r>
        <w:rPr>
          <w:rFonts w:hint="eastAsia" w:ascii="仿宋_GB2312" w:hAnsi="宋体" w:eastAsia="仿宋_GB2312" w:cs="仿宋_GB2312"/>
          <w:b w:val="0"/>
          <w:bCs w:val="0"/>
          <w:color w:val="000000"/>
          <w:kern w:val="0"/>
          <w:sz w:val="31"/>
          <w:szCs w:val="31"/>
          <w:highlight w:val="none"/>
          <w:lang w:val="en-US" w:eastAsia="zh-CN"/>
        </w:rPr>
        <w:t>目34个，总投资28.62亿元。</w:t>
      </w:r>
    </w:p>
    <w:p w14:paraId="4993979A">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6.关于“创新主体培育还有差距”的问题。</w:t>
      </w:r>
    </w:p>
    <w:p w14:paraId="339E94EB">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rFonts w:hint="eastAsia" w:ascii="仿宋_GB2312" w:hAnsi="宋体" w:eastAsia="仿宋_GB2312" w:cs="仿宋_GB2312"/>
          <w:b w:val="0"/>
          <w:bCs w:val="0"/>
          <w:color w:val="000000"/>
          <w:kern w:val="0"/>
          <w:sz w:val="31"/>
          <w:szCs w:val="31"/>
          <w:lang w:val="en-US" w:eastAsia="zh-CN"/>
        </w:rPr>
      </w:pPr>
      <w:r>
        <w:rPr>
          <w:rFonts w:hint="eastAsia" w:ascii="仿宋_GB2312" w:hAnsi="宋体" w:eastAsia="仿宋_GB2312" w:cs="仿宋_GB2312"/>
          <w:b w:val="0"/>
          <w:bCs w:val="0"/>
          <w:color w:val="000000"/>
          <w:kern w:val="0"/>
          <w:sz w:val="31"/>
          <w:szCs w:val="31"/>
          <w:lang w:val="en-US" w:eastAsia="zh-CN"/>
        </w:rPr>
        <w:t>实施“创新型-专精特新-小巨人”企业梯度培育工程，推动传统企业技术改造，优化产业生态。截至</w:t>
      </w:r>
      <w:r>
        <w:rPr>
          <w:rFonts w:hint="eastAsia" w:ascii="仿宋_GB2312" w:hAnsi="宋体" w:eastAsia="仿宋_GB2312" w:cs="仿宋_GB2312"/>
          <w:b w:val="0"/>
          <w:bCs w:val="0"/>
          <w:color w:val="000000"/>
          <w:kern w:val="0"/>
          <w:sz w:val="31"/>
          <w:szCs w:val="31"/>
          <w:highlight w:val="none"/>
          <w:lang w:val="en-US" w:eastAsia="zh-CN"/>
        </w:rPr>
        <w:t>2025年</w:t>
      </w:r>
      <w:r>
        <w:rPr>
          <w:rFonts w:hint="eastAsia" w:ascii="仿宋_GB2312" w:hAnsi="宋体" w:eastAsia="仿宋_GB2312" w:cs="仿宋_GB2312"/>
          <w:b w:val="0"/>
          <w:bCs w:val="0"/>
          <w:color w:val="000000"/>
          <w:kern w:val="0"/>
          <w:sz w:val="31"/>
          <w:szCs w:val="31"/>
          <w:lang w:val="en-US" w:eastAsia="zh-CN"/>
        </w:rPr>
        <w:t>12月底，申报国家级科技型中小企业67家、省级19家，完成高企重新认定2家，承德宝通矿业与同济大学开展产学研合作申报国家级科技项目，成功申报创新型中小企业7家、专精特新中小企业3家。</w:t>
      </w:r>
    </w:p>
    <w:p w14:paraId="5692A908">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7.关于“推进市场体系建设缓慢”的问题。</w:t>
      </w:r>
    </w:p>
    <w:p w14:paraId="67821F0D">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val="0"/>
          <w:bCs w:val="0"/>
          <w:color w:val="000000"/>
          <w:kern w:val="0"/>
          <w:sz w:val="31"/>
          <w:szCs w:val="31"/>
          <w:highlight w:val="none"/>
          <w:lang w:val="en-US" w:eastAsia="zh-CN"/>
        </w:rPr>
      </w:pPr>
      <w:r>
        <w:rPr>
          <w:rFonts w:hint="eastAsia" w:ascii="仿宋_GB2312" w:hAnsi="宋体" w:eastAsia="仿宋_GB2312" w:cs="仿宋_GB2312"/>
          <w:b/>
          <w:bCs/>
          <w:color w:val="000000"/>
          <w:kern w:val="0"/>
          <w:sz w:val="31"/>
          <w:szCs w:val="31"/>
          <w:highlight w:val="none"/>
          <w:lang w:val="en-US" w:eastAsia="zh-CN"/>
        </w:rPr>
        <w:t>一是</w:t>
      </w:r>
      <w:r>
        <w:rPr>
          <w:rFonts w:hint="eastAsia" w:ascii="仿宋_GB2312" w:hAnsi="宋体" w:eastAsia="仿宋_GB2312" w:cs="仿宋_GB2312"/>
          <w:b w:val="0"/>
          <w:bCs w:val="0"/>
          <w:color w:val="000000"/>
          <w:kern w:val="0"/>
          <w:sz w:val="31"/>
          <w:szCs w:val="31"/>
          <w:highlight w:val="none"/>
          <w:lang w:val="en-US" w:eastAsia="zh-CN"/>
        </w:rPr>
        <w:t>针对县域商业建设行动实施滞后问题，加大对河北东润供应链管理有限公司的督导和帮扶力度，该公司已投入运营，与19家乡镇商贸中心开展合作销售，整合邮政等物流企业拓展业务；</w:t>
      </w:r>
      <w:r>
        <w:rPr>
          <w:rFonts w:hint="eastAsia" w:ascii="仿宋_GB2312" w:hAnsi="宋体" w:eastAsia="仿宋_GB2312" w:cs="仿宋_GB2312"/>
          <w:b/>
          <w:bCs/>
          <w:color w:val="000000"/>
          <w:kern w:val="0"/>
          <w:sz w:val="31"/>
          <w:szCs w:val="31"/>
          <w:highlight w:val="none"/>
          <w:lang w:val="en-US" w:eastAsia="zh-CN"/>
        </w:rPr>
        <w:t>二是</w:t>
      </w:r>
      <w:r>
        <w:rPr>
          <w:rFonts w:hint="eastAsia" w:ascii="仿宋_GB2312" w:hAnsi="宋体" w:eastAsia="仿宋_GB2312" w:cs="仿宋_GB2312"/>
          <w:b w:val="0"/>
          <w:bCs w:val="0"/>
          <w:color w:val="000000"/>
          <w:kern w:val="0"/>
          <w:sz w:val="31"/>
          <w:szCs w:val="31"/>
          <w:highlight w:val="none"/>
          <w:lang w:val="en-US" w:eastAsia="zh-CN"/>
        </w:rPr>
        <w:t>针对电子商务进农村综合示范项目推进较慢问题，根据县政府全县电商发展相关工作要求，项目已完成验收及资产清点，资产移交新的运营主体使用。160个村级服务站点已完成改造升级并发挥便民服务功能，2025年度累计入村快递128.87万件，相关活动总销售额超8.9万元。</w:t>
      </w:r>
    </w:p>
    <w:p w14:paraId="09378EE1">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8.关于“粮食安全监管及保障能力不足”的问题。</w:t>
      </w:r>
    </w:p>
    <w:p w14:paraId="531A1D77">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val="0"/>
          <w:bCs w:val="0"/>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一是</w:t>
      </w:r>
      <w:r>
        <w:rPr>
          <w:rFonts w:hint="eastAsia" w:ascii="仿宋_GB2312" w:hAnsi="宋体" w:eastAsia="仿宋_GB2312" w:cs="仿宋_GB2312"/>
          <w:b w:val="0"/>
          <w:bCs w:val="0"/>
          <w:color w:val="000000"/>
          <w:kern w:val="0"/>
          <w:sz w:val="31"/>
          <w:szCs w:val="31"/>
          <w:lang w:val="en-US" w:eastAsia="zh-CN"/>
        </w:rPr>
        <w:t>针对应急保供机制不完善</w:t>
      </w:r>
      <w:r>
        <w:rPr>
          <w:rFonts w:hint="eastAsia" w:ascii="仿宋_GB2312" w:hAnsi="宋体" w:eastAsia="仿宋_GB2312" w:cs="仿宋_GB2312"/>
          <w:b w:val="0"/>
          <w:bCs w:val="0"/>
          <w:color w:val="000000"/>
          <w:kern w:val="0"/>
          <w:sz w:val="31"/>
          <w:szCs w:val="31"/>
          <w:highlight w:val="none"/>
          <w:lang w:val="en-US" w:eastAsia="zh-CN"/>
        </w:rPr>
        <w:t>问题，完善应急供应管理制度，</w:t>
      </w:r>
      <w:r>
        <w:rPr>
          <w:rFonts w:hint="eastAsia" w:ascii="仿宋_GB2312" w:hAnsi="宋体" w:eastAsia="仿宋_GB2312" w:cs="仿宋_GB2312"/>
          <w:b w:val="0"/>
          <w:bCs w:val="0"/>
          <w:strike w:val="0"/>
          <w:dstrike w:val="0"/>
          <w:color w:val="000000"/>
          <w:kern w:val="0"/>
          <w:sz w:val="31"/>
          <w:szCs w:val="31"/>
          <w:highlight w:val="none"/>
          <w:lang w:val="en-US" w:eastAsia="zh-CN"/>
        </w:rPr>
        <w:t>与各乡镇建立常态化沟通机制</w:t>
      </w:r>
      <w:r>
        <w:rPr>
          <w:rFonts w:hint="eastAsia" w:ascii="仿宋_GB2312" w:hAnsi="宋体" w:eastAsia="仿宋_GB2312" w:cs="仿宋_GB2312"/>
          <w:b w:val="0"/>
          <w:bCs w:val="0"/>
          <w:strike w:val="0"/>
          <w:color w:val="000000"/>
          <w:kern w:val="0"/>
          <w:sz w:val="31"/>
          <w:szCs w:val="31"/>
          <w:highlight w:val="none"/>
          <w:lang w:val="en-US" w:eastAsia="zh-CN"/>
        </w:rPr>
        <w:t>，同步辖区内粮食供应网点经验及仓储信息</w:t>
      </w:r>
      <w:r>
        <w:rPr>
          <w:rFonts w:hint="eastAsia" w:ascii="仿宋_GB2312" w:hAnsi="宋体" w:eastAsia="仿宋_GB2312" w:cs="仿宋_GB2312"/>
          <w:b w:val="0"/>
          <w:bCs w:val="0"/>
          <w:color w:val="000000"/>
          <w:kern w:val="0"/>
          <w:sz w:val="31"/>
          <w:szCs w:val="31"/>
          <w:highlight w:val="none"/>
          <w:lang w:val="en-US" w:eastAsia="zh-CN"/>
        </w:rPr>
        <w:t>，共同保障粮食供应安全；</w:t>
      </w:r>
      <w:r>
        <w:rPr>
          <w:rFonts w:hint="eastAsia" w:ascii="仿宋_GB2312" w:hAnsi="宋体" w:eastAsia="仿宋_GB2312" w:cs="仿宋_GB2312"/>
          <w:b/>
          <w:bCs/>
          <w:color w:val="000000"/>
          <w:kern w:val="0"/>
          <w:sz w:val="31"/>
          <w:szCs w:val="31"/>
          <w:highlight w:val="none"/>
          <w:lang w:val="en-US" w:eastAsia="zh-CN"/>
        </w:rPr>
        <w:t>二是</w:t>
      </w:r>
      <w:r>
        <w:rPr>
          <w:rFonts w:hint="eastAsia" w:ascii="仿宋_GB2312" w:hAnsi="宋体" w:eastAsia="仿宋_GB2312" w:cs="仿宋_GB2312"/>
          <w:b w:val="0"/>
          <w:bCs w:val="0"/>
          <w:color w:val="000000"/>
          <w:kern w:val="0"/>
          <w:sz w:val="31"/>
          <w:szCs w:val="31"/>
          <w:highlight w:val="none"/>
          <w:lang w:val="en-US" w:eastAsia="zh-CN"/>
        </w:rPr>
        <w:t>针对粮食安全监管力度较弱问题，强化监督手段，督促国有粮企建</w:t>
      </w:r>
      <w:r>
        <w:rPr>
          <w:rFonts w:hint="eastAsia" w:ascii="仿宋_GB2312" w:hAnsi="宋体" w:eastAsia="仿宋_GB2312" w:cs="仿宋_GB2312"/>
          <w:b w:val="0"/>
          <w:bCs w:val="0"/>
          <w:color w:val="000000"/>
          <w:kern w:val="0"/>
          <w:sz w:val="31"/>
          <w:szCs w:val="31"/>
          <w:lang w:val="en-US" w:eastAsia="zh-CN"/>
        </w:rPr>
        <w:t>立重点工作报备制度，对设备设施全面检修等重点工作及时报备行政主管部门，提升监管效能。</w:t>
      </w:r>
    </w:p>
    <w:p w14:paraId="152D5612">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9.关于“制度执行弱化，重大决策与内部监管存在漏洞”的问题。</w:t>
      </w:r>
    </w:p>
    <w:p w14:paraId="18F303D4">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val="0"/>
          <w:bCs w:val="0"/>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一是</w:t>
      </w:r>
      <w:r>
        <w:rPr>
          <w:rFonts w:hint="eastAsia" w:ascii="仿宋_GB2312" w:hAnsi="宋体" w:eastAsia="仿宋_GB2312" w:cs="仿宋_GB2312"/>
          <w:b w:val="0"/>
          <w:bCs w:val="0"/>
          <w:color w:val="000000"/>
          <w:kern w:val="0"/>
          <w:sz w:val="31"/>
          <w:szCs w:val="31"/>
          <w:lang w:val="en-US" w:eastAsia="zh-CN"/>
        </w:rPr>
        <w:t>针对内控管理不到</w:t>
      </w:r>
      <w:r>
        <w:rPr>
          <w:rFonts w:hint="eastAsia" w:ascii="仿宋_GB2312" w:hAnsi="宋体" w:eastAsia="仿宋_GB2312" w:cs="仿宋_GB2312"/>
          <w:b w:val="0"/>
          <w:bCs w:val="0"/>
          <w:color w:val="000000"/>
          <w:kern w:val="0"/>
          <w:sz w:val="31"/>
          <w:szCs w:val="31"/>
          <w:highlight w:val="none"/>
          <w:lang w:val="en-US" w:eastAsia="zh-CN"/>
        </w:rPr>
        <w:t>位问题，及时调整领导班子分工，避免人事、财务、工会等关键领域由同一分管领导兼管，从源头上规避监管风险；</w:t>
      </w:r>
      <w:r>
        <w:rPr>
          <w:rFonts w:hint="eastAsia" w:ascii="仿宋_GB2312" w:hAnsi="宋体" w:eastAsia="仿宋_GB2312" w:cs="仿宋_GB2312"/>
          <w:b/>
          <w:bCs/>
          <w:color w:val="000000"/>
          <w:kern w:val="0"/>
          <w:sz w:val="31"/>
          <w:szCs w:val="31"/>
          <w:highlight w:val="none"/>
          <w:lang w:val="en-US" w:eastAsia="zh-CN"/>
        </w:rPr>
        <w:t>二是</w:t>
      </w:r>
      <w:r>
        <w:rPr>
          <w:rFonts w:hint="eastAsia" w:ascii="仿宋_GB2312" w:hAnsi="宋体" w:eastAsia="仿宋_GB2312" w:cs="仿宋_GB2312"/>
          <w:b w:val="0"/>
          <w:bCs w:val="0"/>
          <w:color w:val="000000"/>
          <w:kern w:val="0"/>
          <w:sz w:val="31"/>
          <w:szCs w:val="31"/>
          <w:highlight w:val="none"/>
          <w:lang w:val="en-US" w:eastAsia="zh-CN"/>
        </w:rPr>
        <w:t>针对内部审计缺位问题</w:t>
      </w:r>
      <w:r>
        <w:rPr>
          <w:rFonts w:hint="eastAsia" w:ascii="仿宋_GB2312" w:hAnsi="宋体" w:eastAsia="仿宋_GB2312" w:cs="仿宋_GB2312"/>
          <w:b w:val="0"/>
          <w:bCs w:val="0"/>
          <w:color w:val="000000"/>
          <w:kern w:val="0"/>
          <w:sz w:val="31"/>
          <w:szCs w:val="31"/>
          <w:lang w:val="en-US" w:eastAsia="zh-CN"/>
        </w:rPr>
        <w:t>，</w:t>
      </w:r>
      <w:r>
        <w:rPr>
          <w:rFonts w:ascii="仿宋_GB2312" w:hAnsi="宋体" w:eastAsia="仿宋_GB2312" w:cs="仿宋_GB2312"/>
          <w:b w:val="0"/>
          <w:bCs w:val="0"/>
          <w:color w:val="000000"/>
          <w:kern w:val="0"/>
          <w:sz w:val="31"/>
          <w:szCs w:val="31"/>
          <w:lang w:val="en-US" w:eastAsia="zh-CN"/>
        </w:rPr>
        <w:t>已</w:t>
      </w:r>
      <w:r>
        <w:rPr>
          <w:rFonts w:hint="eastAsia" w:ascii="仿宋_GB2312" w:hAnsi="宋体" w:eastAsia="仿宋_GB2312" w:cs="仿宋_GB2312"/>
          <w:b w:val="0"/>
          <w:bCs w:val="0"/>
          <w:color w:val="000000"/>
          <w:kern w:val="0"/>
          <w:sz w:val="31"/>
          <w:szCs w:val="31"/>
          <w:lang w:val="en-US" w:eastAsia="zh-CN"/>
        </w:rPr>
        <w:t>制定</w:t>
      </w:r>
      <w:r>
        <w:rPr>
          <w:rFonts w:ascii="仿宋_GB2312" w:hAnsi="宋体" w:eastAsia="仿宋_GB2312" w:cs="仿宋_GB2312"/>
          <w:b w:val="0"/>
          <w:bCs w:val="0"/>
          <w:strike w:val="0"/>
          <w:dstrike w:val="0"/>
          <w:color w:val="000000"/>
          <w:kern w:val="0"/>
          <w:sz w:val="31"/>
          <w:szCs w:val="31"/>
          <w:lang w:val="en-US" w:eastAsia="zh-CN"/>
        </w:rPr>
        <w:t>2026年度</w:t>
      </w:r>
      <w:r>
        <w:rPr>
          <w:rFonts w:hint="eastAsia" w:ascii="仿宋_GB2312" w:hAnsi="宋体" w:eastAsia="仿宋_GB2312" w:cs="仿宋_GB2312"/>
          <w:b w:val="0"/>
          <w:bCs w:val="0"/>
          <w:color w:val="000000"/>
          <w:kern w:val="0"/>
          <w:sz w:val="31"/>
          <w:szCs w:val="31"/>
          <w:lang w:val="en-US" w:eastAsia="zh-CN"/>
        </w:rPr>
        <w:t>内审计划，建立内部审计工作台账，将按计划开展内审工作，</w:t>
      </w:r>
      <w:r>
        <w:rPr>
          <w:rFonts w:ascii="仿宋_GB2312" w:hAnsi="宋体" w:eastAsia="仿宋_GB2312" w:cs="仿宋_GB2312"/>
          <w:b w:val="0"/>
          <w:bCs w:val="0"/>
          <w:color w:val="000000"/>
          <w:kern w:val="0"/>
          <w:sz w:val="31"/>
          <w:szCs w:val="31"/>
          <w:lang w:val="en-US" w:eastAsia="zh-CN"/>
        </w:rPr>
        <w:t>持续</w:t>
      </w:r>
      <w:r>
        <w:rPr>
          <w:rFonts w:hint="eastAsia" w:ascii="仿宋_GB2312" w:hAnsi="宋体" w:eastAsia="仿宋_GB2312" w:cs="仿宋_GB2312"/>
          <w:b w:val="0"/>
          <w:bCs w:val="0"/>
          <w:color w:val="000000"/>
          <w:kern w:val="0"/>
          <w:sz w:val="31"/>
          <w:szCs w:val="31"/>
          <w:lang w:val="en-US" w:eastAsia="zh-CN"/>
        </w:rPr>
        <w:t>推进常态化审计监督机制建设。</w:t>
      </w:r>
    </w:p>
    <w:p w14:paraId="5462AC48">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10.关于“推动人才队伍建设不够有力”的问题。</w:t>
      </w:r>
    </w:p>
    <w:p w14:paraId="3F5C60C7">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rFonts w:hint="eastAsia" w:ascii="仿宋_GB2312" w:hAnsi="宋体" w:eastAsia="仿宋_GB2312" w:cs="仿宋_GB2312"/>
          <w:b w:val="0"/>
          <w:bCs w:val="0"/>
          <w:color w:val="000000"/>
          <w:kern w:val="0"/>
          <w:sz w:val="31"/>
          <w:szCs w:val="31"/>
          <w:lang w:val="en-US" w:eastAsia="zh-CN"/>
        </w:rPr>
      </w:pPr>
      <w:r>
        <w:rPr>
          <w:rFonts w:hint="eastAsia" w:ascii="仿宋_GB2312" w:hAnsi="宋体" w:eastAsia="仿宋_GB2312" w:cs="仿宋_GB2312"/>
          <w:b w:val="0"/>
          <w:bCs w:val="0"/>
          <w:color w:val="000000"/>
          <w:kern w:val="0"/>
          <w:sz w:val="31"/>
          <w:szCs w:val="31"/>
          <w:lang w:val="en-US" w:eastAsia="zh-CN"/>
        </w:rPr>
        <w:t>申请增加全额事业编制6名，新增正高级专业技术岗位1名、副高级岗位1名、中级岗位3名，新引进专业技术人员3名，培养副科级干部1名，调整中层岗位并新任股长6人，初步形成年龄结构合理、专业技能匹配的人才梯队结构，激发了干部工作热情。</w:t>
      </w:r>
    </w:p>
    <w:p w14:paraId="27F82C4D">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bCs/>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11.关于“党组织建设还有薄弱环节”的问题。</w:t>
      </w:r>
    </w:p>
    <w:p w14:paraId="44194264">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b w:val="0"/>
          <w:bCs w:val="0"/>
          <w:color w:val="000000"/>
          <w:kern w:val="0"/>
          <w:sz w:val="31"/>
          <w:szCs w:val="31"/>
          <w:lang w:val="en-US" w:eastAsia="zh-CN"/>
        </w:rPr>
      </w:pPr>
      <w:r>
        <w:rPr>
          <w:rFonts w:hint="eastAsia" w:ascii="仿宋_GB2312" w:hAnsi="宋体" w:eastAsia="仿宋_GB2312" w:cs="仿宋_GB2312"/>
          <w:b/>
          <w:bCs/>
          <w:color w:val="000000"/>
          <w:kern w:val="0"/>
          <w:sz w:val="31"/>
          <w:szCs w:val="31"/>
          <w:lang w:val="en-US" w:eastAsia="zh-CN"/>
        </w:rPr>
        <w:t>一是</w:t>
      </w:r>
      <w:r>
        <w:rPr>
          <w:rFonts w:hint="eastAsia" w:ascii="仿宋_GB2312" w:hAnsi="宋体" w:eastAsia="仿宋_GB2312" w:cs="仿宋_GB2312"/>
          <w:b w:val="0"/>
          <w:bCs w:val="0"/>
          <w:color w:val="000000"/>
          <w:kern w:val="0"/>
          <w:sz w:val="31"/>
          <w:szCs w:val="31"/>
          <w:lang w:val="en-US" w:eastAsia="zh-CN"/>
        </w:rPr>
        <w:t>针对管党治党压力传导不足</w:t>
      </w:r>
      <w:r>
        <w:rPr>
          <w:rFonts w:hint="eastAsia" w:ascii="仿宋_GB2312" w:hAnsi="宋体" w:eastAsia="仿宋_GB2312" w:cs="仿宋_GB2312"/>
          <w:b w:val="0"/>
          <w:bCs w:val="0"/>
          <w:color w:val="000000"/>
          <w:kern w:val="0"/>
          <w:sz w:val="31"/>
          <w:szCs w:val="31"/>
          <w:highlight w:val="none"/>
          <w:lang w:val="en-US" w:eastAsia="zh-CN"/>
        </w:rPr>
        <w:t>问题，分类制定个性化廉政谈话提纲，加强纪律教育，及时召开警示教育大会，落实“一案一通报、一案一剖析”，加大日常监督检查力度；</w:t>
      </w:r>
      <w:r>
        <w:rPr>
          <w:rFonts w:hint="eastAsia" w:ascii="仿宋_GB2312" w:hAnsi="宋体" w:eastAsia="仿宋_GB2312" w:cs="仿宋_GB2312"/>
          <w:b/>
          <w:bCs/>
          <w:color w:val="000000"/>
          <w:kern w:val="0"/>
          <w:sz w:val="31"/>
          <w:szCs w:val="31"/>
          <w:highlight w:val="none"/>
          <w:lang w:val="en-US" w:eastAsia="zh-CN"/>
        </w:rPr>
        <w:t>二是</w:t>
      </w:r>
      <w:r>
        <w:rPr>
          <w:rFonts w:hint="eastAsia" w:ascii="仿宋_GB2312" w:hAnsi="宋体" w:eastAsia="仿宋_GB2312" w:cs="仿宋_GB2312"/>
          <w:b w:val="0"/>
          <w:bCs w:val="0"/>
          <w:color w:val="000000"/>
          <w:kern w:val="0"/>
          <w:sz w:val="31"/>
          <w:szCs w:val="31"/>
          <w:highlight w:val="none"/>
          <w:lang w:val="en-US" w:eastAsia="zh-CN"/>
        </w:rPr>
        <w:t>针对党组织活动质量不高问题，建立“党建+业务”双</w:t>
      </w:r>
      <w:r>
        <w:rPr>
          <w:rFonts w:hint="eastAsia" w:ascii="仿宋_GB2312" w:hAnsi="宋体" w:eastAsia="仿宋_GB2312" w:cs="仿宋_GB2312"/>
          <w:b w:val="0"/>
          <w:bCs w:val="0"/>
          <w:color w:val="000000"/>
          <w:kern w:val="0"/>
          <w:sz w:val="31"/>
          <w:szCs w:val="31"/>
          <w:lang w:val="en-US" w:eastAsia="zh-CN"/>
        </w:rPr>
        <w:t>促双融机制，开展联学共建和主题党日活动，提升组织生活会质量，完善党员日常管理和考勤提醒机制，将参与组织生活情况纳入年度民主评议。</w:t>
      </w:r>
    </w:p>
    <w:p w14:paraId="15F8787C">
      <w:pPr>
        <w:keepNext w:val="0"/>
        <w:keepLines w:val="0"/>
        <w:pageBreakBefore w:val="0"/>
        <w:kinsoku/>
        <w:wordWrap/>
        <w:overflowPunct/>
        <w:topLinePunct w:val="0"/>
        <w:autoSpaceDE/>
        <w:autoSpaceDN/>
        <w:adjustRightInd/>
        <w:snapToGrid/>
        <w:spacing w:line="576" w:lineRule="exact"/>
        <w:ind w:firstLine="640" w:firstLineChars="2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三、整改成效巩固及长效发展举措</w:t>
      </w:r>
    </w:p>
    <w:p w14:paraId="3A259031">
      <w:pPr>
        <w:keepNext w:val="0"/>
        <w:keepLines w:val="0"/>
        <w:pageBreakBefore w:val="0"/>
        <w:kinsoku/>
        <w:wordWrap/>
        <w:overflowPunct/>
        <w:topLinePunct w:val="0"/>
        <w:autoSpaceDE/>
        <w:autoSpaceDN/>
        <w:adjustRightInd/>
        <w:snapToGrid/>
        <w:spacing w:line="576" w:lineRule="exact"/>
        <w:ind w:firstLine="620" w:firstLineChars="200"/>
        <w:rPr>
          <w:rFonts w:hint="eastAsia" w:ascii="仿宋_GB2312" w:hAnsi="宋体" w:eastAsia="仿宋_GB2312" w:cs="仿宋_GB2312"/>
          <w:color w:val="000000"/>
          <w:kern w:val="0"/>
          <w:sz w:val="31"/>
          <w:szCs w:val="31"/>
          <w:lang w:val="en-US" w:eastAsia="zh-CN"/>
        </w:rPr>
      </w:pPr>
      <w:r>
        <w:rPr>
          <w:rFonts w:hint="eastAsia" w:ascii="仿宋_GB2312" w:hAnsi="宋体" w:eastAsia="仿宋_GB2312" w:cs="仿宋_GB2312"/>
          <w:color w:val="000000"/>
          <w:kern w:val="0"/>
          <w:sz w:val="31"/>
          <w:szCs w:val="31"/>
          <w:lang w:val="en-US" w:eastAsia="zh-CN"/>
        </w:rPr>
        <w:t>本次巡察整改已全面完成，下一</w:t>
      </w:r>
      <w:bookmarkStart w:id="0" w:name="_GoBack"/>
      <w:bookmarkEnd w:id="0"/>
      <w:r>
        <w:rPr>
          <w:rFonts w:hint="eastAsia" w:ascii="仿宋_GB2312" w:hAnsi="宋体" w:eastAsia="仿宋_GB2312" w:cs="仿宋_GB2312"/>
          <w:color w:val="000000"/>
          <w:kern w:val="0"/>
          <w:sz w:val="31"/>
          <w:szCs w:val="31"/>
          <w:lang w:val="en-US" w:eastAsia="zh-CN"/>
        </w:rPr>
        <w:t>步，局党组将坚持目标不变、标准不降、力度不减，以此次巡察整改为契机，持续巩固整改成果、深化整改成效，推动全县发展改革工作再上新台阶。</w:t>
      </w:r>
    </w:p>
    <w:p w14:paraId="13B1D631">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楷体_GB2312" w:hAnsi="宋体" w:eastAsia="楷体_GB2312" w:cs="楷体_GB2312"/>
          <w:b/>
          <w:bCs/>
          <w:color w:val="000000"/>
          <w:kern w:val="0"/>
          <w:sz w:val="32"/>
          <w:szCs w:val="32"/>
          <w:lang w:val="en-US" w:eastAsia="zh-CN"/>
        </w:rPr>
      </w:pPr>
      <w:r>
        <w:rPr>
          <w:rFonts w:hint="eastAsia" w:ascii="楷体_GB2312" w:hAnsi="宋体" w:eastAsia="楷体_GB2312" w:cs="楷体_GB2312"/>
          <w:b/>
          <w:bCs/>
          <w:color w:val="000000"/>
          <w:kern w:val="0"/>
          <w:sz w:val="32"/>
          <w:szCs w:val="32"/>
          <w:lang w:val="en-US" w:eastAsia="zh-CN"/>
        </w:rPr>
        <w:t>（一）常态化开展“回头看”，严防问题反弹回潮</w:t>
      </w:r>
    </w:p>
    <w:p w14:paraId="4DE96979">
      <w:pPr>
        <w:keepNext w:val="0"/>
        <w:keepLines w:val="0"/>
        <w:pageBreakBefore w:val="0"/>
        <w:kinsoku/>
        <w:wordWrap/>
        <w:overflowPunct/>
        <w:topLinePunct w:val="0"/>
        <w:autoSpaceDE/>
        <w:autoSpaceDN/>
        <w:bidi w:val="0"/>
        <w:adjustRightInd/>
        <w:snapToGrid/>
        <w:spacing w:line="576" w:lineRule="exact"/>
        <w:ind w:firstLine="620" w:firstLineChars="200"/>
        <w:textAlignment w:val="auto"/>
        <w:rPr>
          <w:rFonts w:ascii="仿宋_GB2312" w:hAnsi="宋体" w:eastAsia="仿宋_GB2312" w:cs="仿宋_GB2312"/>
          <w:color w:val="000000"/>
          <w:kern w:val="0"/>
          <w:sz w:val="31"/>
          <w:szCs w:val="31"/>
          <w:lang w:val="en-US" w:eastAsia="zh-CN"/>
        </w:rPr>
      </w:pPr>
      <w:r>
        <w:rPr>
          <w:rFonts w:hint="eastAsia" w:ascii="仿宋_GB2312" w:hAnsi="宋体" w:eastAsia="仿宋_GB2312" w:cs="仿宋_GB2312"/>
          <w:color w:val="000000"/>
          <w:kern w:val="0"/>
          <w:sz w:val="31"/>
          <w:szCs w:val="31"/>
          <w:lang w:val="en-US" w:eastAsia="zh-CN"/>
        </w:rPr>
        <w:t>建立巡察整改“回头看”长效机制，对已完成的整改任务，定期组织专项检查和常态化督导，重点核查问题是否反弹、整改措施是否落地、长效机制是否有效运行，及时发现并解决整改过程中出现的新情况、新问题，切实把整改成效巩固好、坚持好。</w:t>
      </w:r>
    </w:p>
    <w:p w14:paraId="1B7993DC">
      <w:pPr>
        <w:keepNext w:val="0"/>
        <w:keepLines w:val="0"/>
        <w:pageBreakBefore w:val="0"/>
        <w:kinsoku/>
        <w:wordWrap/>
        <w:overflowPunct/>
        <w:topLinePunct w:val="0"/>
        <w:autoSpaceDE/>
        <w:autoSpaceDN/>
        <w:adjustRightInd/>
        <w:snapToGrid/>
        <w:spacing w:line="576" w:lineRule="exact"/>
        <w:ind w:firstLine="643" w:firstLineChars="200"/>
        <w:rPr>
          <w:rFonts w:ascii="楷体_GB2312" w:hAnsi="宋体" w:eastAsia="楷体_GB2312" w:cs="楷体_GB2312"/>
          <w:b/>
          <w:bCs/>
          <w:color w:val="000000"/>
          <w:kern w:val="0"/>
          <w:sz w:val="32"/>
          <w:szCs w:val="32"/>
        </w:rPr>
      </w:pPr>
      <w:r>
        <w:rPr>
          <w:rFonts w:hint="eastAsia" w:ascii="楷体_GB2312" w:hAnsi="宋体" w:eastAsia="楷体_GB2312" w:cs="楷体_GB2312"/>
          <w:b/>
          <w:bCs/>
          <w:color w:val="000000"/>
          <w:kern w:val="0"/>
          <w:sz w:val="32"/>
          <w:szCs w:val="32"/>
        </w:rPr>
        <w:t>（二）</w:t>
      </w:r>
      <w:r>
        <w:rPr>
          <w:rFonts w:ascii="楷体_GB2312" w:hAnsi="宋体" w:eastAsia="楷体_GB2312" w:cs="楷体_GB2312"/>
          <w:b/>
          <w:bCs/>
          <w:color w:val="000000"/>
          <w:kern w:val="0"/>
          <w:sz w:val="32"/>
          <w:szCs w:val="32"/>
        </w:rPr>
        <w:t>系统化完善制度体系，健全长效治理机制</w:t>
      </w:r>
    </w:p>
    <w:p w14:paraId="115245B3">
      <w:pPr>
        <w:keepNext w:val="0"/>
        <w:keepLines w:val="0"/>
        <w:pageBreakBefore w:val="0"/>
        <w:kinsoku/>
        <w:wordWrap/>
        <w:overflowPunct/>
        <w:topLinePunct w:val="0"/>
        <w:autoSpaceDE/>
        <w:autoSpaceDN/>
        <w:adjustRightInd/>
        <w:snapToGrid/>
        <w:spacing w:line="576" w:lineRule="exact"/>
        <w:ind w:firstLine="620" w:firstLineChars="200"/>
        <w:rPr>
          <w:rFonts w:ascii="仿宋_GB2312" w:hAnsi="宋体" w:eastAsia="仿宋_GB2312" w:cs="仿宋_GB2312"/>
          <w:color w:val="000000"/>
          <w:kern w:val="0"/>
          <w:sz w:val="31"/>
          <w:szCs w:val="31"/>
          <w:lang w:val="en-US" w:eastAsia="zh-CN"/>
        </w:rPr>
      </w:pPr>
      <w:r>
        <w:rPr>
          <w:rFonts w:ascii="仿宋_GB2312" w:hAnsi="宋体" w:eastAsia="仿宋_GB2312" w:cs="仿宋_GB2312"/>
          <w:color w:val="000000"/>
          <w:kern w:val="0"/>
          <w:sz w:val="31"/>
          <w:szCs w:val="31"/>
          <w:lang w:val="en-US" w:eastAsia="zh-CN"/>
        </w:rPr>
        <w:t>针对巡察反馈的共性问题和深层次矛盾，坚持举一反三、标本兼治，进一步完善理论学习、项目管理、国有资产监管、内部审计、党建业务融合、粮食安全监管等重点领域制度机制，形成系统完备、科学规范、运行有效的制度体系，真正实现以制度管人、以制度管事、以制度管权。</w:t>
      </w:r>
    </w:p>
    <w:p w14:paraId="314AEC54">
      <w:pPr>
        <w:keepNext w:val="0"/>
        <w:keepLines w:val="0"/>
        <w:pageBreakBefore w:val="0"/>
        <w:kinsoku/>
        <w:wordWrap/>
        <w:overflowPunct/>
        <w:topLinePunct w:val="0"/>
        <w:autoSpaceDE/>
        <w:autoSpaceDN/>
        <w:adjustRightInd/>
        <w:snapToGrid/>
        <w:spacing w:line="576" w:lineRule="exact"/>
        <w:ind w:firstLine="643" w:firstLineChars="200"/>
        <w:rPr>
          <w:rFonts w:ascii="楷体_GB2312" w:hAnsi="宋体" w:eastAsia="楷体_GB2312" w:cs="楷体_GB2312"/>
          <w:b/>
          <w:bCs/>
          <w:color w:val="000000"/>
          <w:kern w:val="0"/>
          <w:sz w:val="32"/>
          <w:szCs w:val="32"/>
        </w:rPr>
      </w:pPr>
      <w:r>
        <w:rPr>
          <w:rFonts w:hint="eastAsia" w:ascii="楷体_GB2312" w:hAnsi="宋体" w:eastAsia="楷体_GB2312" w:cs="楷体_GB2312"/>
          <w:b/>
          <w:bCs/>
          <w:color w:val="000000"/>
          <w:kern w:val="0"/>
          <w:sz w:val="32"/>
          <w:szCs w:val="32"/>
        </w:rPr>
        <w:t>（三）</w:t>
      </w:r>
      <w:r>
        <w:rPr>
          <w:rFonts w:ascii="楷体_GB2312" w:hAnsi="宋体" w:eastAsia="楷体_GB2312" w:cs="楷体_GB2312"/>
          <w:b/>
          <w:bCs/>
          <w:color w:val="000000"/>
          <w:kern w:val="0"/>
          <w:sz w:val="32"/>
          <w:szCs w:val="32"/>
        </w:rPr>
        <w:t>深度化转化整改成果，赋能高质量发展</w:t>
      </w:r>
    </w:p>
    <w:p w14:paraId="144FD8E4">
      <w:pPr>
        <w:keepNext w:val="0"/>
        <w:keepLines w:val="0"/>
        <w:pageBreakBefore w:val="0"/>
        <w:kinsoku/>
        <w:wordWrap/>
        <w:overflowPunct/>
        <w:topLinePunct w:val="0"/>
        <w:autoSpaceDE/>
        <w:autoSpaceDN/>
        <w:adjustRightInd/>
        <w:snapToGrid/>
        <w:spacing w:line="576" w:lineRule="exact"/>
        <w:ind w:firstLine="620" w:firstLineChars="200"/>
        <w:rPr>
          <w:rFonts w:ascii="仿宋_GB2312" w:hAnsi="宋体" w:eastAsia="仿宋_GB2312" w:cs="仿宋_GB2312"/>
          <w:color w:val="000000"/>
          <w:kern w:val="0"/>
          <w:sz w:val="31"/>
          <w:szCs w:val="31"/>
          <w:lang w:val="en-US" w:eastAsia="zh-CN"/>
        </w:rPr>
      </w:pPr>
      <w:r>
        <w:rPr>
          <w:rFonts w:ascii="仿宋_GB2312" w:hAnsi="宋体" w:eastAsia="仿宋_GB2312" w:cs="仿宋_GB2312"/>
          <w:color w:val="000000"/>
          <w:kern w:val="0"/>
          <w:sz w:val="31"/>
          <w:szCs w:val="31"/>
          <w:lang w:val="en-US" w:eastAsia="zh-CN"/>
        </w:rPr>
        <w:t>把巡察整改与推动县域经济社会高质量发展紧密结合，将整改成效转化为推动产业结构优化、项目谋划建设、创新主体培育、固定资产投资、民生保障改善的强大动力，切实发挥发改部门宏观调控、统筹协调、综合服务职能，不断提升发展改革工作质效，为滦平县经济社会高质量发展提供更加坚实的支撑。</w:t>
      </w:r>
    </w:p>
    <w:p w14:paraId="53E12C6E">
      <w:pPr>
        <w:keepNext w:val="0"/>
        <w:keepLines w:val="0"/>
        <w:pageBreakBefore w:val="0"/>
        <w:kinsoku/>
        <w:wordWrap/>
        <w:overflowPunct/>
        <w:topLinePunct w:val="0"/>
        <w:autoSpaceDE/>
        <w:autoSpaceDN/>
        <w:adjustRightInd/>
        <w:snapToGrid/>
        <w:spacing w:line="576" w:lineRule="exact"/>
        <w:ind w:firstLine="620" w:firstLineChars="200"/>
        <w:rPr>
          <w:rFonts w:hint="eastAsia" w:ascii="仿宋_GB2312" w:hAnsi="宋体" w:eastAsia="仿宋_GB2312" w:cs="仿宋_GB2312"/>
          <w:color w:val="000000"/>
          <w:kern w:val="0"/>
          <w:sz w:val="31"/>
          <w:szCs w:val="31"/>
          <w:lang w:val="en-US" w:eastAsia="zh-CN"/>
        </w:rPr>
      </w:pPr>
      <w:r>
        <w:rPr>
          <w:rFonts w:hint="eastAsia" w:ascii="仿宋_GB2312" w:hAnsi="宋体" w:eastAsia="仿宋_GB2312" w:cs="仿宋_GB2312"/>
          <w:color w:val="000000"/>
          <w:kern w:val="0"/>
          <w:sz w:val="31"/>
          <w:szCs w:val="31"/>
          <w:lang w:val="en-US" w:eastAsia="zh-CN"/>
        </w:rPr>
        <w:t xml:space="preserve"> 欢迎广大干部群众对我局整改落实情况进行监督。如有意见建议，请及时通过以下方式反馈：</w:t>
      </w:r>
    </w:p>
    <w:p w14:paraId="1D5ABEBE">
      <w:pPr>
        <w:keepNext w:val="0"/>
        <w:keepLines w:val="0"/>
        <w:pageBreakBefore w:val="0"/>
        <w:kinsoku/>
        <w:wordWrap/>
        <w:overflowPunct/>
        <w:topLinePunct w:val="0"/>
        <w:autoSpaceDE/>
        <w:autoSpaceDN/>
        <w:adjustRightInd/>
        <w:snapToGrid/>
        <w:spacing w:line="576" w:lineRule="exact"/>
        <w:ind w:firstLine="620" w:firstLineChars="200"/>
        <w:rPr>
          <w:rFonts w:hint="default" w:ascii="仿宋_GB2312" w:hAnsi="宋体" w:eastAsia="仿宋_GB2312" w:cs="仿宋_GB2312"/>
          <w:color w:val="000000"/>
          <w:kern w:val="0"/>
          <w:sz w:val="31"/>
          <w:szCs w:val="31"/>
          <w:lang w:val="en-US" w:eastAsia="zh-CN"/>
        </w:rPr>
      </w:pPr>
      <w:r>
        <w:rPr>
          <w:rFonts w:hint="eastAsia" w:ascii="仿宋_GB2312" w:hAnsi="宋体" w:eastAsia="仿宋_GB2312" w:cs="仿宋_GB2312"/>
          <w:color w:val="000000"/>
          <w:kern w:val="0"/>
          <w:sz w:val="31"/>
          <w:szCs w:val="31"/>
          <w:lang w:val="en-US" w:eastAsia="zh-CN"/>
        </w:rPr>
        <w:t>- 联系电话：0314-8583123</w:t>
      </w:r>
    </w:p>
    <w:p w14:paraId="08479D21">
      <w:pPr>
        <w:keepNext w:val="0"/>
        <w:keepLines w:val="0"/>
        <w:pageBreakBefore w:val="0"/>
        <w:kinsoku/>
        <w:wordWrap/>
        <w:overflowPunct/>
        <w:topLinePunct w:val="0"/>
        <w:autoSpaceDE/>
        <w:autoSpaceDN/>
        <w:adjustRightInd/>
        <w:snapToGrid/>
        <w:spacing w:line="576" w:lineRule="exact"/>
        <w:ind w:firstLine="620" w:firstLineChars="200"/>
        <w:rPr>
          <w:rFonts w:hint="eastAsia" w:ascii="仿宋_GB2312" w:hAnsi="宋体" w:eastAsia="仿宋_GB2312" w:cs="仿宋_GB2312"/>
          <w:color w:val="000000"/>
          <w:kern w:val="0"/>
          <w:sz w:val="31"/>
          <w:szCs w:val="31"/>
          <w:lang w:val="en-US" w:eastAsia="zh-CN"/>
        </w:rPr>
      </w:pPr>
      <w:r>
        <w:rPr>
          <w:rFonts w:hint="eastAsia" w:ascii="仿宋_GB2312" w:hAnsi="宋体" w:eastAsia="仿宋_GB2312" w:cs="仿宋_GB2312"/>
          <w:color w:val="000000"/>
          <w:kern w:val="0"/>
          <w:sz w:val="31"/>
          <w:szCs w:val="31"/>
          <w:lang w:val="en-US" w:eastAsia="zh-CN"/>
        </w:rPr>
        <w:t>- 邮政地址：滦平县北山新区滦平县发展和改革局办公室</w:t>
      </w:r>
    </w:p>
    <w:p w14:paraId="40DF9214">
      <w:pPr>
        <w:keepNext w:val="0"/>
        <w:keepLines w:val="0"/>
        <w:pageBreakBefore w:val="0"/>
        <w:kinsoku/>
        <w:wordWrap/>
        <w:overflowPunct/>
        <w:topLinePunct w:val="0"/>
        <w:autoSpaceDE/>
        <w:autoSpaceDN/>
        <w:adjustRightInd/>
        <w:snapToGrid/>
        <w:spacing w:line="576" w:lineRule="exact"/>
        <w:ind w:firstLine="620" w:firstLineChars="200"/>
        <w:rPr>
          <w:rFonts w:hint="eastAsia" w:ascii="仿宋_GB2312" w:hAnsi="宋体" w:eastAsia="仿宋_GB2312" w:cs="仿宋_GB2312"/>
          <w:color w:val="000000"/>
          <w:kern w:val="0"/>
          <w:sz w:val="31"/>
          <w:szCs w:val="31"/>
          <w:lang w:val="en-US" w:eastAsia="zh-CN"/>
        </w:rPr>
      </w:pPr>
      <w:r>
        <w:rPr>
          <w:rFonts w:hint="eastAsia" w:ascii="仿宋_GB2312" w:hAnsi="宋体" w:eastAsia="仿宋_GB2312" w:cs="仿宋_GB2312"/>
          <w:color w:val="000000"/>
          <w:kern w:val="0"/>
          <w:sz w:val="31"/>
          <w:szCs w:val="31"/>
          <w:lang w:val="en-US" w:eastAsia="zh-CN"/>
        </w:rPr>
        <w:t>- 电子邮箱：luanping83123@163.com</w:t>
      </w:r>
    </w:p>
    <w:p w14:paraId="02A8C56E">
      <w:pPr>
        <w:keepNext w:val="0"/>
        <w:keepLines w:val="0"/>
        <w:pageBreakBefore w:val="0"/>
        <w:kinsoku/>
        <w:wordWrap/>
        <w:overflowPunct/>
        <w:topLinePunct w:val="0"/>
        <w:autoSpaceDE/>
        <w:autoSpaceDN/>
        <w:bidi w:val="0"/>
        <w:adjustRightInd/>
        <w:snapToGrid/>
        <w:spacing w:line="576" w:lineRule="exact"/>
        <w:ind w:firstLine="4030" w:firstLineChars="1300"/>
        <w:textAlignment w:val="auto"/>
        <w:rPr>
          <w:rFonts w:hint="eastAsia" w:ascii="仿宋_GB2312" w:hAnsi="宋体" w:eastAsia="仿宋_GB2312" w:cs="仿宋_GB2312"/>
          <w:color w:val="000000"/>
          <w:kern w:val="0"/>
          <w:sz w:val="31"/>
          <w:szCs w:val="31"/>
          <w:lang w:val="en-US" w:eastAsia="zh-CN"/>
        </w:rPr>
      </w:pPr>
    </w:p>
    <w:p w14:paraId="47CBAFF7">
      <w:pPr>
        <w:keepNext w:val="0"/>
        <w:keepLines w:val="0"/>
        <w:pageBreakBefore w:val="0"/>
        <w:kinsoku/>
        <w:wordWrap/>
        <w:overflowPunct/>
        <w:topLinePunct w:val="0"/>
        <w:autoSpaceDE/>
        <w:autoSpaceDN/>
        <w:bidi w:val="0"/>
        <w:adjustRightInd/>
        <w:snapToGrid/>
        <w:spacing w:line="576" w:lineRule="exact"/>
        <w:ind w:firstLine="4030" w:firstLineChars="1300"/>
        <w:textAlignment w:val="auto"/>
        <w:rPr>
          <w:rFonts w:hint="eastAsia" w:ascii="仿宋_GB2312" w:hAnsi="宋体" w:eastAsia="仿宋_GB2312" w:cs="仿宋_GB2312"/>
          <w:color w:val="000000"/>
          <w:kern w:val="0"/>
          <w:sz w:val="31"/>
          <w:szCs w:val="31"/>
          <w:lang w:val="en-US" w:eastAsia="zh-CN"/>
        </w:rPr>
      </w:pPr>
      <w:r>
        <w:rPr>
          <w:rFonts w:hint="eastAsia" w:ascii="仿宋_GB2312" w:hAnsi="宋体" w:eastAsia="仿宋_GB2312" w:cs="仿宋_GB2312"/>
          <w:color w:val="000000"/>
          <w:kern w:val="0"/>
          <w:sz w:val="31"/>
          <w:szCs w:val="31"/>
          <w:lang w:val="en-US" w:eastAsia="zh-CN"/>
        </w:rPr>
        <w:t>中共滦平县发展和改革局党组</w:t>
      </w:r>
    </w:p>
    <w:p w14:paraId="6B516A66">
      <w:pPr>
        <w:keepNext w:val="0"/>
        <w:keepLines w:val="0"/>
        <w:pageBreakBefore w:val="0"/>
        <w:kinsoku/>
        <w:wordWrap/>
        <w:overflowPunct/>
        <w:topLinePunct w:val="0"/>
        <w:autoSpaceDE/>
        <w:autoSpaceDN/>
        <w:bidi w:val="0"/>
        <w:adjustRightInd/>
        <w:snapToGrid/>
        <w:spacing w:line="576" w:lineRule="exact"/>
        <w:ind w:firstLine="4960" w:firstLineChars="1600"/>
        <w:textAlignment w:val="auto"/>
        <w:rPr>
          <w:lang w:val="en-US"/>
        </w:rPr>
      </w:pPr>
      <w:r>
        <w:rPr>
          <w:rFonts w:hint="eastAsia" w:ascii="仿宋_GB2312" w:hAnsi="宋体" w:eastAsia="仿宋_GB2312" w:cs="仿宋_GB2312"/>
          <w:color w:val="000000"/>
          <w:kern w:val="0"/>
          <w:sz w:val="31"/>
          <w:szCs w:val="31"/>
          <w:lang w:val="en-US" w:eastAsia="zh-CN"/>
        </w:rPr>
        <w:t>202</w:t>
      </w:r>
      <w:r>
        <w:rPr>
          <w:rFonts w:ascii="仿宋_GB2312" w:hAnsi="宋体" w:eastAsia="仿宋_GB2312" w:cs="仿宋_GB2312"/>
          <w:color w:val="000000"/>
          <w:kern w:val="0"/>
          <w:sz w:val="31"/>
          <w:szCs w:val="31"/>
          <w:lang w:val="en-US" w:eastAsia="zh-CN"/>
        </w:rPr>
        <w:t>6</w:t>
      </w:r>
      <w:r>
        <w:rPr>
          <w:rFonts w:hint="eastAsia" w:ascii="仿宋_GB2312" w:hAnsi="宋体" w:eastAsia="仿宋_GB2312" w:cs="仿宋_GB2312"/>
          <w:color w:val="000000"/>
          <w:kern w:val="0"/>
          <w:sz w:val="31"/>
          <w:szCs w:val="31"/>
          <w:lang w:val="en-US" w:eastAsia="zh-CN"/>
        </w:rPr>
        <w:t>年</w:t>
      </w:r>
      <w:r>
        <w:rPr>
          <w:rFonts w:ascii="仿宋_GB2312" w:hAnsi="宋体" w:eastAsia="仿宋_GB2312" w:cs="仿宋_GB2312"/>
          <w:color w:val="000000"/>
          <w:kern w:val="0"/>
          <w:sz w:val="31"/>
          <w:szCs w:val="31"/>
          <w:lang w:val="en-US" w:eastAsia="zh-CN"/>
        </w:rPr>
        <w:t>3</w:t>
      </w:r>
      <w:r>
        <w:rPr>
          <w:rFonts w:hint="eastAsia" w:ascii="仿宋_GB2312" w:hAnsi="宋体" w:eastAsia="仿宋_GB2312" w:cs="仿宋_GB2312"/>
          <w:color w:val="000000"/>
          <w:kern w:val="0"/>
          <w:sz w:val="31"/>
          <w:szCs w:val="31"/>
          <w:lang w:val="en-US" w:eastAsia="zh-CN"/>
        </w:rPr>
        <w:t>月</w:t>
      </w:r>
      <w:r>
        <w:rPr>
          <w:rFonts w:ascii="仿宋_GB2312" w:hAnsi="宋体" w:eastAsia="仿宋_GB2312" w:cs="仿宋_GB2312"/>
          <w:color w:val="000000"/>
          <w:kern w:val="0"/>
          <w:sz w:val="31"/>
          <w:szCs w:val="31"/>
          <w:lang w:val="en-US" w:eastAsia="zh-CN"/>
        </w:rPr>
        <w:t>10</w:t>
      </w:r>
      <w:r>
        <w:rPr>
          <w:rFonts w:hint="eastAsia" w:ascii="仿宋_GB2312" w:hAnsi="宋体" w:eastAsia="仿宋_GB2312" w:cs="仿宋_GB2312"/>
          <w:color w:val="000000"/>
          <w:kern w:val="0"/>
          <w:sz w:val="31"/>
          <w:szCs w:val="31"/>
          <w:lang w:val="en-US" w:eastAsia="zh-CN"/>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983A012-4A80-4D45-9486-D4929AB73648}"/>
  </w:font>
  <w:font w:name="黑体">
    <w:panose1 w:val="02010609060101010101"/>
    <w:charset w:val="86"/>
    <w:family w:val="auto"/>
    <w:pitch w:val="default"/>
    <w:sig w:usb0="800002BF" w:usb1="38CF7CFA" w:usb2="00000016" w:usb3="00000000" w:csb0="00040001" w:csb1="00000000"/>
    <w:embedRegular r:id="rId2" w:fontKey="{8C5BEFC1-673F-454B-BA09-FE1D22E1F84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3" w:fontKey="{95419FC1-F649-4276-A1DA-9BCD01BA2D90}"/>
  </w:font>
  <w:font w:name="方正小标宋简体">
    <w:panose1 w:val="02000000000000000000"/>
    <w:charset w:val="86"/>
    <w:family w:val="auto"/>
    <w:pitch w:val="default"/>
    <w:sig w:usb0="00000001" w:usb1="080E0000" w:usb2="00000000" w:usb3="00000000" w:csb0="00040000" w:csb1="00000000"/>
    <w:embedRegular r:id="rId4" w:fontKey="{E9CEC03C-1914-44BA-813A-3DD5FF0B3E9E}"/>
  </w:font>
  <w:font w:name="楷体_GB2312">
    <w:panose1 w:val="02010609030101010101"/>
    <w:charset w:val="86"/>
    <w:family w:val="auto"/>
    <w:pitch w:val="default"/>
    <w:sig w:usb0="00000001" w:usb1="080E0000" w:usb2="00000000" w:usb3="00000000" w:csb0="00040000" w:csb1="00000000"/>
    <w:embedRegular r:id="rId5" w:fontKey="{63E34889-9230-4966-86DE-A0F4378F28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2314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5892B5">
                          <w:pPr>
                            <w:pStyle w:val="6"/>
                            <w:rPr>
                              <w:rFonts w:ascii="宋体" w:hAnsi="宋体" w:eastAsia="宋体"/>
                              <w:sz w:val="32"/>
                              <w:szCs w:val="32"/>
                            </w:rPr>
                          </w:pPr>
                          <w:r>
                            <w:rPr>
                              <w:rFonts w:ascii="宋体" w:hAnsi="宋体" w:eastAsia="宋体"/>
                              <w:sz w:val="32"/>
                              <w:szCs w:val="32"/>
                            </w:rPr>
                            <w:t xml:space="preserve">— </w:t>
                          </w:r>
                          <w:r>
                            <w:rPr>
                              <w:rFonts w:ascii="宋体" w:hAnsi="宋体" w:eastAsia="宋体"/>
                              <w:sz w:val="32"/>
                              <w:szCs w:val="32"/>
                            </w:rPr>
                            <w:fldChar w:fldCharType="begin"/>
                          </w:r>
                          <w:r>
                            <w:rPr>
                              <w:rFonts w:ascii="宋体" w:hAnsi="宋体" w:eastAsia="宋体"/>
                              <w:sz w:val="32"/>
                              <w:szCs w:val="32"/>
                            </w:rPr>
                            <w:instrText xml:space="preserve"> PAGE  \* MERGEFORMAT </w:instrText>
                          </w:r>
                          <w:r>
                            <w:rPr>
                              <w:rFonts w:ascii="宋体" w:hAnsi="宋体" w:eastAsia="宋体"/>
                              <w:sz w:val="32"/>
                              <w:szCs w:val="32"/>
                            </w:rPr>
                            <w:fldChar w:fldCharType="separate"/>
                          </w:r>
                          <w:r>
                            <w:rPr>
                              <w:rFonts w:ascii="宋体" w:hAnsi="宋体" w:eastAsia="宋体"/>
                              <w:sz w:val="32"/>
                              <w:szCs w:val="32"/>
                            </w:rPr>
                            <w:t>1</w:t>
                          </w:r>
                          <w:r>
                            <w:rPr>
                              <w:rFonts w:ascii="宋体" w:hAnsi="宋体" w:eastAsia="宋体"/>
                              <w:sz w:val="32"/>
                              <w:szCs w:val="32"/>
                            </w:rPr>
                            <w:fldChar w:fldCharType="end"/>
                          </w:r>
                          <w:r>
                            <w:rPr>
                              <w:rFonts w:ascii="宋体" w:hAnsi="宋体" w:eastAsia="宋体"/>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5892B5">
                    <w:pPr>
                      <w:pStyle w:val="6"/>
                      <w:rPr>
                        <w:rFonts w:ascii="宋体" w:hAnsi="宋体" w:eastAsia="宋体"/>
                        <w:sz w:val="32"/>
                        <w:szCs w:val="32"/>
                      </w:rPr>
                    </w:pPr>
                    <w:r>
                      <w:rPr>
                        <w:rFonts w:ascii="宋体" w:hAnsi="宋体" w:eastAsia="宋体"/>
                        <w:sz w:val="32"/>
                        <w:szCs w:val="32"/>
                      </w:rPr>
                      <w:t xml:space="preserve">— </w:t>
                    </w:r>
                    <w:r>
                      <w:rPr>
                        <w:rFonts w:ascii="宋体" w:hAnsi="宋体" w:eastAsia="宋体"/>
                        <w:sz w:val="32"/>
                        <w:szCs w:val="32"/>
                      </w:rPr>
                      <w:fldChar w:fldCharType="begin"/>
                    </w:r>
                    <w:r>
                      <w:rPr>
                        <w:rFonts w:ascii="宋体" w:hAnsi="宋体" w:eastAsia="宋体"/>
                        <w:sz w:val="32"/>
                        <w:szCs w:val="32"/>
                      </w:rPr>
                      <w:instrText xml:space="preserve"> PAGE  \* MERGEFORMAT </w:instrText>
                    </w:r>
                    <w:r>
                      <w:rPr>
                        <w:rFonts w:ascii="宋体" w:hAnsi="宋体" w:eastAsia="宋体"/>
                        <w:sz w:val="32"/>
                        <w:szCs w:val="32"/>
                      </w:rPr>
                      <w:fldChar w:fldCharType="separate"/>
                    </w:r>
                    <w:r>
                      <w:rPr>
                        <w:rFonts w:ascii="宋体" w:hAnsi="宋体" w:eastAsia="宋体"/>
                        <w:sz w:val="32"/>
                        <w:szCs w:val="32"/>
                      </w:rPr>
                      <w:t>1</w:t>
                    </w:r>
                    <w:r>
                      <w:rPr>
                        <w:rFonts w:ascii="宋体" w:hAnsi="宋体" w:eastAsia="宋体"/>
                        <w:sz w:val="32"/>
                        <w:szCs w:val="32"/>
                      </w:rPr>
                      <w:fldChar w:fldCharType="end"/>
                    </w:r>
                    <w:r>
                      <w:rPr>
                        <w:rFonts w:ascii="宋体" w:hAnsi="宋体" w:eastAsia="宋体"/>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8B43062"/>
    <w:rsid w:val="290322A7"/>
    <w:rsid w:val="2CE3731D"/>
    <w:rsid w:val="395A564B"/>
    <w:rsid w:val="470A44C7"/>
    <w:rsid w:val="7E3F4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1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2"/>
    <w:qFormat/>
    <w:uiPriority w:val="0"/>
    <w:pPr>
      <w:keepNext/>
      <w:keepLines/>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rPr>
      <w:rFonts w:ascii="仿宋_GB2312" w:hAnsi="仿宋_GB2312" w:eastAsia="仿宋_GB2312" w:cs="仿宋_GB2312"/>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0">
    <w:name w:val="heading 1 Char"/>
    <w:basedOn w:val="9"/>
    <w:link w:val="2"/>
    <w:qFormat/>
    <w:uiPriority w:val="0"/>
    <w:rPr>
      <w:rFonts w:ascii="Calibri" w:hAnsi="Calibri" w:eastAsia="宋体" w:cs="Arial"/>
      <w:b/>
      <w:bCs/>
      <w:kern w:val="44"/>
      <w:sz w:val="44"/>
      <w:szCs w:val="44"/>
      <w:lang w:val="en-US" w:eastAsia="zh-CN" w:bidi="ar-SA"/>
    </w:rPr>
  </w:style>
  <w:style w:type="character" w:customStyle="1" w:styleId="11">
    <w:name w:val="heading 2 Char"/>
    <w:basedOn w:val="9"/>
    <w:link w:val="3"/>
    <w:qFormat/>
    <w:uiPriority w:val="0"/>
    <w:rPr>
      <w:rFonts w:ascii="Times New Roman" w:hAnsi="Calibri" w:eastAsia="黑体" w:cs="Arial"/>
      <w:b/>
      <w:bCs/>
      <w:kern w:val="2"/>
      <w:sz w:val="32"/>
      <w:szCs w:val="32"/>
      <w:lang w:val="en-US" w:eastAsia="zh-CN" w:bidi="ar-SA"/>
    </w:rPr>
  </w:style>
  <w:style w:type="character" w:customStyle="1" w:styleId="12">
    <w:name w:val="heading 3 Char"/>
    <w:basedOn w:val="9"/>
    <w:link w:val="4"/>
    <w:qFormat/>
    <w:uiPriority w:val="0"/>
    <w:rPr>
      <w:rFonts w:ascii="Calibri" w:hAnsi="Calibri" w:eastAsia="宋体" w:cs="Arial"/>
      <w:b/>
      <w:bCs/>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ap="flat" cmpd="sng">
          <a:solidFill>
            <a:schemeClr val="phClr"/>
          </a:solidFill>
          <a:prstDash val="solid"/>
          <a:miter/>
        </a:ln>
        <a:ln w="12700" cap="flat" cmpd="sng">
          <a:solidFill>
            <a:schemeClr val="phClr"/>
          </a:solidFill>
          <a:prstDash val="solid"/>
          <a:miter/>
        </a:ln>
        <a:ln w="12700" cap="flat" cmpd="sng">
          <a:gradFill rotWithShape="1">
            <a:gsLst>
              <a:gs pos="0">
                <a:schemeClr val="phClr">
                  <a:hueOff val="-4200000"/>
                </a:schemeClr>
              </a:gs>
              <a:gs pos="100000">
                <a:schemeClr val="phClr"/>
              </a:gs>
            </a:gsLst>
            <a:lin ang="2700000" scaled="1"/>
          </a:gradFill>
          <a:prstDash val="solid"/>
          <a:miter/>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F2B71B-292D-4DF3-A375-C7C3A786BA5A}">
  <ds:schemaRefs/>
</ds:datastoreItem>
</file>

<file path=docProps/app.xml><?xml version="1.0" encoding="utf-8"?>
<Properties xmlns="http://schemas.openxmlformats.org/officeDocument/2006/extended-properties" xmlns:vt="http://schemas.openxmlformats.org/officeDocument/2006/docPropsVTypes">
  <Template>Normal.eit</Template>
  <Pages>8</Pages>
  <Words>2674</Words>
  <Characters>2739</Characters>
  <Lines>0</Lines>
  <Paragraphs>64</Paragraphs>
  <TotalTime>3</TotalTime>
  <ScaleCrop>false</ScaleCrop>
  <LinksUpToDate>false</LinksUpToDate>
  <CharactersWithSpaces>2739</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2025-10-27T08:37:00Z</dcterms:created>
  <dc:creator>Administrator</dc:creator>
  <cp:lastModifiedBy>范竹茵</cp:lastModifiedBy>
  <cp:lastPrinted>2026-03-07T06:47:00Z</cp:lastPrinted>
  <dcterms:modified xsi:type="dcterms:W3CDTF">2026-07-06T02:27:21Z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eyJoZGlkIjoiOGIwOTIyNWRmMGEyOTg0MGNkOWU4OGQ0MWY3NDhhNzMiLCJ1c2VySWQiOiIxNjQ2MDUxMTg4In0=</vt:lpwstr>
  </property>
  <property fmtid="{D5CDD505-2E9C-101B-9397-08002B2CF9AE}" pid="4" name="ICV">
    <vt:lpwstr>7E3940516D344C6F907BB5DDCBC64AC1_13</vt:lpwstr>
  </property>
</Properties>
</file>