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sectPr>
          <w:headerReference r:id="rId3" w:type="default"/>
          <w:pgSz w:w="11906" w:h="16838"/>
          <w:pgMar w:top="0" w:right="0" w:bottom="0" w:left="0" w:header="851" w:footer="992" w:gutter="0"/>
          <w:cols w:space="425" w:num="1"/>
          <w:titlePg/>
          <w:docGrid w:type="lines" w:linePitch="312" w:charSpace="0"/>
        </w:sectPr>
      </w:pPr>
      <w:bookmarkStart w:id="0" w:name="_GoBack"/>
      <w:bookmarkEnd w:id="0"/>
      <w:r>
        <mc:AlternateContent>
          <mc:Choice Requires="wps">
            <w:drawing>
              <wp:anchor distT="0" distB="0" distL="114300" distR="114300" simplePos="0" relativeHeight="32216258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1073341440;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txbxContent>
                </v:textbox>
              </v:shape>
            </w:pict>
          </mc:Fallback>
        </mc:AlternateContent>
      </w:r>
      <w:r>
        <mc:AlternateContent>
          <mc:Choice Requires="wps">
            <w:drawing>
              <wp:anchor distT="0" distB="0" distL="114300" distR="114300" simplePos="0" relativeHeight="3221622784"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1073344512;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lzntkAAAALAQAADwAAAAAAAAABACAAAAAiAAAAZHJzL2Rvd25yZXYueG1sUEsBAhQA&#10;FAAAAAgAh07iQKby8CnxAQAA1QMAAA4AAAAAAAAAAQAgAAAAKAEAAGRycy9lMm9Eb2MueG1sUEsF&#10;BgAAAAAGAAYAWQEAAIs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3221627904"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107333939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3221626880"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107334041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32216238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107334348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32216248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107334246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r>
        <w:rPr>
          <w:rFonts w:hint="eastAsia"/>
          <w:lang w:val="en-US" w:eastAsia="zh-CN"/>
        </w:rPr>
        <w:t>zhong</w: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中共丰宁满族自治县纪委</w:t>
      </w:r>
    </w:p>
    <w:p>
      <w:pPr>
        <w:keepNext w:val="0"/>
        <w:keepLines w:val="0"/>
        <w:pageBreakBefore w:val="0"/>
        <w:widowControl w:val="0"/>
        <w:kinsoku/>
        <w:wordWrap/>
        <w:overflowPunct/>
        <w:topLinePunct w:val="0"/>
        <w:autoSpaceDE/>
        <w:autoSpaceDN/>
        <w:bidi w:val="0"/>
        <w:adjustRightInd/>
        <w:snapToGrid w:val="0"/>
        <w:ind w:firstLine="2640" w:firstLineChars="600"/>
        <w:jc w:val="both"/>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p>
      <w:pPr>
        <w:pageBreakBefore w:val="0"/>
        <w:widowControl/>
        <w:kinsoku/>
        <w:wordWrap/>
        <w:overflowPunct/>
        <w:topLinePunct w:val="0"/>
        <w:autoSpaceDE/>
        <w:autoSpaceDN/>
        <w:bidi w:val="0"/>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bidi w:val="0"/>
        <w:jc w:val="left"/>
        <w:rPr>
          <w:lang w:val="en-US" w:eastAsia="zh-CN"/>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32216289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107333836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自</w:t>
      </w:r>
      <w:r>
        <w:rPr>
          <w:rFonts w:hint="eastAsia" w:ascii="仿宋" w:hAnsi="仿宋" w:eastAsia="仿宋" w:cs="仿宋"/>
          <w:sz w:val="30"/>
          <w:szCs w:val="30"/>
        </w:rPr>
        <w:t>2018年，撤销丰宁满族自治县监察局、丰宁满族自治县人民检察院的反贪污贿赂局、反渎职侵权局、职务犯罪预防科等部门，将其相关职责、人员编制和领导职数划转至丰宁满族自治县监察委员会，丰宁满族自治县监察委员会与中共丰宁满族自治县纪律检查委员会合署办公，实行一套工作机构、两个机关名称，履行纪检、监察两项职能，主要职责是：</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一）县纪委的主要任务是：维护党的章程和其他党内法规；协助县委加强党风建设；检查党的路线、方针、政策和决议在全县的执行情况。经常性工作是对全县党员进行遵守纪律的教育，作出关于维护党纪的决定；检查和处理职权范围内党的组织和党员违反党的章程和其他党内法规的比较重要或复杂的案件，决定或取消对这些案件中的党员的处分；受理职权范围内党员的控告和申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二）监察委行使监察职能，履行的职责是检查全县行政机关在遵守和执行法律、法规和人民政府的决定、命令中的问题；受理县内国家行政机关、国家公务员和国家行政机关任命的其他人员违反行政纪律行为的控告、检举；调查处理县内国家行政机关、国家公务员和国家行政机关任命的其他人员违反行政纪律的行为；受理县内国家公务员和国家行政机关任命的其他人员不服主管行政机关给予行政处分决定的申诉，以及法律、行政法规规定的其他由监察机关受理的申诉；法律、行政法规规定由监察机关履行的其他职责；结合检察院机关反贪污贿赂工作情况，研究分析贪污贿赂等犯罪的特点、规律，研究制定检察机关反贪污贿赂工作制度，负责对贪污贿赂等经济犯罪案进行侦查工作；负责对国家机关人员的渎职犯罪和国家机关工作人员利用职权实施的侵犯公民人身权利，公民民主权利的犯罪案件的侦查工作；负责对职务犯罪预防工作的法制宣传，研究分析职务犯罪工作的特点、规律，开展贪污规律、渎职犯罪的预防工作。  </w:t>
      </w:r>
    </w:p>
    <w:p>
      <w:pPr>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kern w:val="0"/>
          <w:sz w:val="30"/>
          <w:szCs w:val="30"/>
        </w:rPr>
      </w:pPr>
    </w:p>
    <w:p>
      <w:pPr>
        <w:keepNext/>
        <w:keepLines/>
        <w:pageBreakBefore w:val="0"/>
        <w:widowControl w:val="0"/>
        <w:kinsoku/>
        <w:wordWrap/>
        <w:overflowPunct/>
        <w:topLinePunct w:val="0"/>
        <w:autoSpaceDE/>
        <w:autoSpaceDN/>
        <w:bidi w:val="0"/>
        <w:adjustRightInd/>
        <w:snapToGrid/>
        <w:spacing w:before="0" w:after="0" w:line="580" w:lineRule="exact"/>
        <w:ind w:firstLine="600" w:firstLineChars="200"/>
        <w:jc w:val="left"/>
        <w:textAlignment w:val="auto"/>
        <w:outlineLvl w:val="0"/>
        <w:rPr>
          <w:rFonts w:hint="eastAsia" w:ascii="仿宋" w:hAnsi="仿宋" w:eastAsia="仿宋" w:cs="仿宋"/>
          <w:b w:val="0"/>
          <w:bCs w:val="0"/>
          <w:kern w:val="0"/>
          <w:sz w:val="30"/>
          <w:szCs w:val="30"/>
          <w:lang w:val="en-US" w:eastAsia="zh-CN" w:bidi="ar-SA"/>
        </w:rPr>
      </w:pPr>
      <w:r>
        <w:rPr>
          <w:rFonts w:hint="eastAsia" w:ascii="仿宋" w:hAnsi="仿宋" w:eastAsia="仿宋" w:cs="仿宋"/>
          <w:b w:val="0"/>
          <w:bCs w:val="0"/>
          <w:kern w:val="0"/>
          <w:sz w:val="30"/>
          <w:szCs w:val="30"/>
          <w:lang w:val="en-US" w:eastAsia="zh-CN" w:bidi="ar-SA"/>
        </w:rPr>
        <w:t>二、机构设置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本单位为中国共产党机关，属于行政单位，内设科室21个，核定行政编制96个，工勤编制5个，全部由财政全额拨款管理。执行行政单位会计制度，财务隶属于一级单位，自己由县财政本级预算。</w:t>
      </w:r>
    </w:p>
    <w:p>
      <w:pPr>
        <w:jc w:val="center"/>
        <w:outlineLvl w:val="0"/>
        <w:rPr>
          <w:rFonts w:hint="eastAsia" w:ascii="仿宋" w:hAnsi="仿宋" w:eastAsia="仿宋" w:cs="仿宋"/>
          <w:sz w:val="30"/>
          <w:szCs w:val="30"/>
        </w:rPr>
      </w:pPr>
      <w:r>
        <w:rPr>
          <w:rFonts w:hint="eastAsia" w:ascii="仿宋" w:hAnsi="仿宋" w:eastAsia="仿宋" w:cs="仿宋"/>
          <w:sz w:val="30"/>
          <w:szCs w:val="30"/>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0"/>
        <w:gridCol w:w="1470"/>
        <w:gridCol w:w="1470"/>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190" w:type="dxa"/>
            <w:vMerge w:val="restart"/>
            <w:noWrap w:val="0"/>
            <w:vAlign w:val="center"/>
          </w:tcPr>
          <w:p>
            <w:pPr>
              <w:spacing w:line="300" w:lineRule="exact"/>
              <w:jc w:val="center"/>
              <w:rPr>
                <w:rFonts w:hint="eastAsia" w:ascii="仿宋" w:hAnsi="仿宋" w:eastAsia="仿宋" w:cs="仿宋"/>
                <w:b/>
                <w:sz w:val="30"/>
                <w:szCs w:val="30"/>
              </w:rPr>
            </w:pPr>
            <w:r>
              <w:rPr>
                <w:rFonts w:hint="eastAsia" w:ascii="仿宋" w:hAnsi="仿宋" w:eastAsia="仿宋" w:cs="仿宋"/>
                <w:b/>
                <w:sz w:val="30"/>
                <w:szCs w:val="30"/>
              </w:rPr>
              <w:t>单位名称</w:t>
            </w:r>
          </w:p>
        </w:tc>
        <w:tc>
          <w:tcPr>
            <w:tcW w:w="1470" w:type="dxa"/>
            <w:vMerge w:val="restart"/>
            <w:noWrap w:val="0"/>
            <w:vAlign w:val="center"/>
          </w:tcPr>
          <w:p>
            <w:pPr>
              <w:spacing w:line="300" w:lineRule="exact"/>
              <w:jc w:val="center"/>
              <w:rPr>
                <w:rFonts w:hint="eastAsia" w:ascii="仿宋" w:hAnsi="仿宋" w:eastAsia="仿宋" w:cs="仿宋"/>
                <w:b/>
                <w:sz w:val="30"/>
                <w:szCs w:val="30"/>
              </w:rPr>
            </w:pPr>
            <w:r>
              <w:rPr>
                <w:rFonts w:hint="eastAsia" w:ascii="仿宋" w:hAnsi="仿宋" w:eastAsia="仿宋" w:cs="仿宋"/>
                <w:b/>
                <w:sz w:val="30"/>
                <w:szCs w:val="30"/>
              </w:rPr>
              <w:t>单位性质</w:t>
            </w:r>
          </w:p>
        </w:tc>
        <w:tc>
          <w:tcPr>
            <w:tcW w:w="1470" w:type="dxa"/>
            <w:vMerge w:val="restart"/>
            <w:noWrap w:val="0"/>
            <w:vAlign w:val="center"/>
          </w:tcPr>
          <w:p>
            <w:pPr>
              <w:spacing w:line="300" w:lineRule="exact"/>
              <w:jc w:val="center"/>
              <w:rPr>
                <w:rFonts w:hint="eastAsia" w:ascii="仿宋" w:hAnsi="仿宋" w:eastAsia="仿宋" w:cs="仿宋"/>
                <w:b/>
                <w:sz w:val="30"/>
                <w:szCs w:val="30"/>
              </w:rPr>
            </w:pPr>
            <w:r>
              <w:rPr>
                <w:rFonts w:hint="eastAsia" w:ascii="仿宋" w:hAnsi="仿宋" w:eastAsia="仿宋" w:cs="仿宋"/>
                <w:b/>
                <w:sz w:val="30"/>
                <w:szCs w:val="30"/>
              </w:rPr>
              <w:t>单位规格</w:t>
            </w:r>
          </w:p>
        </w:tc>
        <w:tc>
          <w:tcPr>
            <w:tcW w:w="2310" w:type="dxa"/>
            <w:vMerge w:val="restart"/>
            <w:noWrap w:val="0"/>
            <w:vAlign w:val="center"/>
          </w:tcPr>
          <w:p>
            <w:pPr>
              <w:spacing w:line="300" w:lineRule="exact"/>
              <w:jc w:val="center"/>
              <w:rPr>
                <w:rFonts w:hint="eastAsia" w:ascii="仿宋" w:hAnsi="仿宋" w:eastAsia="仿宋" w:cs="仿宋"/>
                <w:b/>
                <w:sz w:val="30"/>
                <w:szCs w:val="30"/>
              </w:rPr>
            </w:pPr>
            <w:r>
              <w:rPr>
                <w:rFonts w:hint="eastAsia" w:ascii="仿宋" w:hAnsi="仿宋" w:eastAsia="仿宋" w:cs="仿宋"/>
                <w:b/>
                <w:sz w:val="30"/>
                <w:szCs w:val="30"/>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190" w:type="dxa"/>
            <w:vMerge w:val="continue"/>
            <w:noWrap w:val="0"/>
            <w:vAlign w:val="center"/>
          </w:tcPr>
          <w:p>
            <w:pPr>
              <w:spacing w:line="300" w:lineRule="exact"/>
              <w:jc w:val="left"/>
              <w:outlineLvl w:val="0"/>
              <w:rPr>
                <w:rFonts w:hint="eastAsia" w:ascii="仿宋" w:hAnsi="仿宋" w:eastAsia="仿宋" w:cs="仿宋"/>
                <w:sz w:val="30"/>
                <w:szCs w:val="30"/>
              </w:rPr>
            </w:pPr>
          </w:p>
        </w:tc>
        <w:tc>
          <w:tcPr>
            <w:tcW w:w="1470" w:type="dxa"/>
            <w:vMerge w:val="continue"/>
            <w:noWrap w:val="0"/>
            <w:vAlign w:val="center"/>
          </w:tcPr>
          <w:p>
            <w:pPr>
              <w:spacing w:line="300" w:lineRule="exact"/>
              <w:jc w:val="left"/>
              <w:outlineLvl w:val="0"/>
              <w:rPr>
                <w:rFonts w:hint="eastAsia" w:ascii="仿宋" w:hAnsi="仿宋" w:eastAsia="仿宋" w:cs="仿宋"/>
                <w:sz w:val="30"/>
                <w:szCs w:val="30"/>
              </w:rPr>
            </w:pPr>
          </w:p>
        </w:tc>
        <w:tc>
          <w:tcPr>
            <w:tcW w:w="1470" w:type="dxa"/>
            <w:vMerge w:val="continue"/>
            <w:noWrap w:val="0"/>
            <w:vAlign w:val="center"/>
          </w:tcPr>
          <w:p>
            <w:pPr>
              <w:spacing w:line="300" w:lineRule="exact"/>
              <w:jc w:val="left"/>
              <w:outlineLvl w:val="0"/>
              <w:rPr>
                <w:rFonts w:hint="eastAsia" w:ascii="仿宋" w:hAnsi="仿宋" w:eastAsia="仿宋" w:cs="仿宋"/>
                <w:sz w:val="30"/>
                <w:szCs w:val="30"/>
              </w:rPr>
            </w:pPr>
          </w:p>
        </w:tc>
        <w:tc>
          <w:tcPr>
            <w:tcW w:w="2310" w:type="dxa"/>
            <w:vMerge w:val="continue"/>
            <w:noWrap w:val="0"/>
            <w:vAlign w:val="center"/>
          </w:tcPr>
          <w:p>
            <w:pPr>
              <w:spacing w:line="300" w:lineRule="exact"/>
              <w:jc w:val="left"/>
              <w:outlineLvl w:val="0"/>
              <w:rPr>
                <w:rFonts w:hint="eastAsia" w:ascii="仿宋" w:hAnsi="仿宋" w:eastAsia="仿宋" w:cs="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办公室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sz w:val="30"/>
                <w:szCs w:val="30"/>
              </w:rPr>
              <w:t>宣传部</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组织部</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sz w:val="30"/>
                <w:szCs w:val="30"/>
              </w:rPr>
              <w:t>案件审理室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案件监督管理室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党风政风监督室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信访室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第一纪检监察室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第二纪检监察室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第三纪检监察室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sz w:val="30"/>
                <w:szCs w:val="30"/>
              </w:rPr>
            </w:pPr>
            <w:r>
              <w:rPr>
                <w:rFonts w:hint="eastAsia" w:ascii="仿宋" w:hAnsi="仿宋" w:eastAsia="仿宋" w:cs="仿宋"/>
                <w:bCs/>
                <w:sz w:val="30"/>
                <w:szCs w:val="30"/>
              </w:rPr>
              <w:t>第四纪检监察室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第五纪检监察室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第六纪检监察室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第七纪检监察室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第八纪检监察室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第九纪检监察室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第十纪检监察室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第一监督室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第二监督室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第三监督室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190" w:type="dxa"/>
            <w:noWrap w:val="0"/>
            <w:vAlign w:val="center"/>
          </w:tcPr>
          <w:p>
            <w:pPr>
              <w:spacing w:line="300" w:lineRule="exact"/>
              <w:jc w:val="left"/>
              <w:rPr>
                <w:rFonts w:hint="eastAsia" w:ascii="仿宋" w:hAnsi="仿宋" w:eastAsia="仿宋" w:cs="仿宋"/>
                <w:bCs/>
                <w:sz w:val="30"/>
                <w:szCs w:val="30"/>
              </w:rPr>
            </w:pPr>
            <w:r>
              <w:rPr>
                <w:rFonts w:hint="eastAsia" w:ascii="仿宋" w:hAnsi="仿宋" w:eastAsia="仿宋" w:cs="仿宋"/>
                <w:bCs/>
                <w:sz w:val="30"/>
                <w:szCs w:val="30"/>
              </w:rPr>
              <w:t>第四监督室</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行政</w:t>
            </w:r>
          </w:p>
        </w:tc>
        <w:tc>
          <w:tcPr>
            <w:tcW w:w="147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副科级</w:t>
            </w:r>
          </w:p>
        </w:tc>
        <w:tc>
          <w:tcPr>
            <w:tcW w:w="2310" w:type="dxa"/>
            <w:noWrap w:val="0"/>
            <w:vAlign w:val="center"/>
          </w:tcPr>
          <w:p>
            <w:pPr>
              <w:spacing w:line="300" w:lineRule="exact"/>
              <w:jc w:val="center"/>
              <w:rPr>
                <w:rFonts w:hint="eastAsia" w:ascii="仿宋" w:hAnsi="仿宋" w:eastAsia="仿宋" w:cs="仿宋"/>
                <w:sz w:val="30"/>
                <w:szCs w:val="30"/>
              </w:rPr>
            </w:pPr>
            <w:r>
              <w:rPr>
                <w:rFonts w:hint="eastAsia" w:ascii="仿宋" w:hAnsi="仿宋" w:eastAsia="仿宋" w:cs="仿宋"/>
                <w:sz w:val="30"/>
                <w:szCs w:val="30"/>
              </w:rPr>
              <w:t>财政性资金基本保证</w:t>
            </w:r>
          </w:p>
        </w:tc>
      </w:tr>
    </w:tbl>
    <w:p>
      <w:pPr>
        <w:snapToGrid w:val="0"/>
        <w:spacing w:line="360" w:lineRule="auto"/>
        <w:ind w:left="720"/>
        <w:jc w:val="center"/>
        <w:outlineLvl w:val="0"/>
        <w:rPr>
          <w:rFonts w:hint="eastAsia" w:ascii="仿宋" w:hAnsi="仿宋" w:eastAsia="仿宋" w:cs="仿宋"/>
          <w:b/>
          <w:bCs/>
          <w:sz w:val="30"/>
          <w:szCs w:val="30"/>
        </w:rPr>
      </w:pPr>
    </w:p>
    <w:p>
      <w:pPr>
        <w:snapToGrid w:val="0"/>
        <w:spacing w:line="360" w:lineRule="auto"/>
        <w:ind w:left="720"/>
        <w:jc w:val="center"/>
        <w:outlineLvl w:val="0"/>
        <w:rPr>
          <w:rFonts w:hint="eastAsia" w:ascii="仿宋" w:hAnsi="仿宋" w:eastAsia="仿宋" w:cs="仿宋"/>
          <w:b/>
          <w:bCs/>
          <w:sz w:val="30"/>
          <w:szCs w:val="30"/>
        </w:rPr>
      </w:pPr>
      <w:r>
        <w:rPr>
          <w:rFonts w:hint="eastAsia" w:ascii="仿宋" w:hAnsi="仿宋" w:eastAsia="仿宋" w:cs="仿宋"/>
          <w:b/>
          <w:bCs/>
          <w:sz w:val="30"/>
          <w:szCs w:val="30"/>
        </w:rPr>
        <w:t>部门预算单位人员情况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856"/>
        <w:gridCol w:w="1155"/>
        <w:gridCol w:w="945"/>
        <w:gridCol w:w="840"/>
        <w:gridCol w:w="840"/>
        <w:gridCol w:w="1365"/>
        <w:gridCol w:w="73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00" w:hRule="atLeast"/>
          <w:tblHeader/>
          <w:jc w:val="center"/>
        </w:trPr>
        <w:tc>
          <w:tcPr>
            <w:tcW w:w="1856" w:type="dxa"/>
            <w:vMerge w:val="restart"/>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单位名称</w:t>
            </w:r>
          </w:p>
        </w:tc>
        <w:tc>
          <w:tcPr>
            <w:tcW w:w="2100" w:type="dxa"/>
            <w:gridSpan w:val="2"/>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编制人数（人）</w:t>
            </w:r>
          </w:p>
        </w:tc>
        <w:tc>
          <w:tcPr>
            <w:tcW w:w="1680" w:type="dxa"/>
            <w:gridSpan w:val="2"/>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在职人数（人）</w:t>
            </w:r>
          </w:p>
        </w:tc>
        <w:tc>
          <w:tcPr>
            <w:tcW w:w="1365" w:type="dxa"/>
            <w:vMerge w:val="restart"/>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非在职人数（人）</w:t>
            </w:r>
          </w:p>
        </w:tc>
        <w:tc>
          <w:tcPr>
            <w:tcW w:w="2205" w:type="dxa"/>
            <w:gridSpan w:val="3"/>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6" w:hRule="atLeast"/>
          <w:tblHeader/>
          <w:jc w:val="center"/>
        </w:trPr>
        <w:tc>
          <w:tcPr>
            <w:tcW w:w="1856" w:type="dxa"/>
            <w:vMerge w:val="continue"/>
            <w:noWrap w:val="0"/>
            <w:vAlign w:val="center"/>
          </w:tcPr>
          <w:p>
            <w:pPr>
              <w:autoSpaceDE w:val="0"/>
              <w:autoSpaceDN w:val="0"/>
              <w:adjustRightInd w:val="0"/>
              <w:ind w:firstLine="675"/>
              <w:jc w:val="center"/>
              <w:rPr>
                <w:rFonts w:hint="eastAsia" w:ascii="仿宋" w:hAnsi="仿宋" w:eastAsia="仿宋" w:cs="仿宋"/>
                <w:b/>
                <w:sz w:val="30"/>
                <w:szCs w:val="30"/>
              </w:rPr>
            </w:pPr>
          </w:p>
        </w:tc>
        <w:tc>
          <w:tcPr>
            <w:tcW w:w="1155" w:type="dxa"/>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行政</w:t>
            </w:r>
          </w:p>
        </w:tc>
        <w:tc>
          <w:tcPr>
            <w:tcW w:w="945" w:type="dxa"/>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事业</w:t>
            </w:r>
          </w:p>
        </w:tc>
        <w:tc>
          <w:tcPr>
            <w:tcW w:w="840" w:type="dxa"/>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行政</w:t>
            </w:r>
          </w:p>
        </w:tc>
        <w:tc>
          <w:tcPr>
            <w:tcW w:w="840" w:type="dxa"/>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事 业</w:t>
            </w:r>
          </w:p>
        </w:tc>
        <w:tc>
          <w:tcPr>
            <w:tcW w:w="1365" w:type="dxa"/>
            <w:vMerge w:val="continue"/>
            <w:noWrap w:val="0"/>
            <w:vAlign w:val="center"/>
          </w:tcPr>
          <w:p>
            <w:pPr>
              <w:autoSpaceDE w:val="0"/>
              <w:autoSpaceDN w:val="0"/>
              <w:adjustRightInd w:val="0"/>
              <w:jc w:val="center"/>
              <w:rPr>
                <w:rFonts w:hint="eastAsia" w:ascii="仿宋" w:hAnsi="仿宋" w:eastAsia="仿宋" w:cs="仿宋"/>
                <w:b/>
                <w:sz w:val="30"/>
                <w:szCs w:val="30"/>
              </w:rPr>
            </w:pPr>
          </w:p>
        </w:tc>
        <w:tc>
          <w:tcPr>
            <w:tcW w:w="735" w:type="dxa"/>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离休</w:t>
            </w:r>
          </w:p>
        </w:tc>
        <w:tc>
          <w:tcPr>
            <w:tcW w:w="735" w:type="dxa"/>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退休</w:t>
            </w:r>
          </w:p>
        </w:tc>
        <w:tc>
          <w:tcPr>
            <w:tcW w:w="735" w:type="dxa"/>
            <w:noWrap w:val="0"/>
            <w:vAlign w:val="center"/>
          </w:tcPr>
          <w:p>
            <w:pPr>
              <w:autoSpaceDE w:val="0"/>
              <w:autoSpaceDN w:val="0"/>
              <w:adjustRightInd w:val="0"/>
              <w:jc w:val="center"/>
              <w:rPr>
                <w:rFonts w:hint="eastAsia" w:ascii="仿宋" w:hAnsi="仿宋" w:eastAsia="仿宋" w:cs="仿宋"/>
                <w:b/>
                <w:sz w:val="30"/>
                <w:szCs w:val="30"/>
              </w:rPr>
            </w:pPr>
            <w:r>
              <w:rPr>
                <w:rFonts w:hint="eastAsia" w:ascii="仿宋" w:hAnsi="仿宋" w:eastAsia="仿宋" w:cs="仿宋"/>
                <w:b/>
                <w:sz w:val="30"/>
                <w:szCs w:val="30"/>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856" w:type="dxa"/>
            <w:tcBorders>
              <w:top w:val="nil"/>
              <w:bottom w:val="single" w:color="auto" w:sz="4" w:space="0"/>
            </w:tcBorders>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中共丰宁满族自治县纪委</w:t>
            </w:r>
          </w:p>
        </w:tc>
        <w:tc>
          <w:tcPr>
            <w:tcW w:w="1155" w:type="dxa"/>
            <w:tcBorders>
              <w:bottom w:val="nil"/>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101</w:t>
            </w:r>
          </w:p>
        </w:tc>
        <w:tc>
          <w:tcPr>
            <w:tcW w:w="945" w:type="dxa"/>
            <w:tcBorders>
              <w:top w:val="nil"/>
              <w:bottom w:val="single" w:color="auto" w:sz="4" w:space="0"/>
            </w:tcBorders>
            <w:noWrap w:val="0"/>
            <w:vAlign w:val="center"/>
          </w:tcPr>
          <w:p>
            <w:pPr>
              <w:widowControl/>
              <w:jc w:val="center"/>
              <w:rPr>
                <w:rFonts w:hint="eastAsia" w:ascii="仿宋" w:hAnsi="仿宋" w:eastAsia="仿宋" w:cs="仿宋"/>
                <w:sz w:val="30"/>
                <w:szCs w:val="30"/>
              </w:rPr>
            </w:pPr>
          </w:p>
        </w:tc>
        <w:tc>
          <w:tcPr>
            <w:tcW w:w="840" w:type="dxa"/>
            <w:tcBorders>
              <w:top w:val="nil"/>
              <w:bottom w:val="single" w:color="auto" w:sz="4" w:space="0"/>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50</w:t>
            </w:r>
          </w:p>
        </w:tc>
        <w:tc>
          <w:tcPr>
            <w:tcW w:w="840" w:type="dxa"/>
            <w:tcBorders>
              <w:top w:val="nil"/>
              <w:bottom w:val="single" w:color="auto" w:sz="4" w:space="0"/>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2</w:t>
            </w:r>
          </w:p>
        </w:tc>
        <w:tc>
          <w:tcPr>
            <w:tcW w:w="1365" w:type="dxa"/>
            <w:tcBorders>
              <w:top w:val="nil"/>
              <w:bottom w:val="single" w:color="auto" w:sz="4" w:space="0"/>
            </w:tcBorders>
            <w:noWrap w:val="0"/>
            <w:vAlign w:val="center"/>
          </w:tcPr>
          <w:p>
            <w:pPr>
              <w:widowControl/>
              <w:jc w:val="center"/>
              <w:rPr>
                <w:rFonts w:hint="eastAsia" w:ascii="仿宋" w:hAnsi="仿宋" w:eastAsia="仿宋" w:cs="仿宋"/>
                <w:sz w:val="30"/>
                <w:szCs w:val="30"/>
              </w:rPr>
            </w:pPr>
          </w:p>
        </w:tc>
        <w:tc>
          <w:tcPr>
            <w:tcW w:w="735" w:type="dxa"/>
            <w:tcBorders>
              <w:top w:val="nil"/>
              <w:bottom w:val="single" w:color="auto" w:sz="4" w:space="0"/>
            </w:tcBorders>
            <w:noWrap w:val="0"/>
            <w:vAlign w:val="center"/>
          </w:tcPr>
          <w:p>
            <w:pPr>
              <w:widowControl/>
              <w:jc w:val="center"/>
              <w:rPr>
                <w:rFonts w:hint="eastAsia" w:ascii="仿宋" w:hAnsi="仿宋" w:eastAsia="仿宋" w:cs="仿宋"/>
                <w:sz w:val="30"/>
                <w:szCs w:val="30"/>
              </w:rPr>
            </w:pPr>
          </w:p>
        </w:tc>
        <w:tc>
          <w:tcPr>
            <w:tcW w:w="735" w:type="dxa"/>
            <w:tcBorders>
              <w:top w:val="nil"/>
              <w:bottom w:val="single" w:color="auto" w:sz="4" w:space="0"/>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15</w:t>
            </w:r>
          </w:p>
        </w:tc>
        <w:tc>
          <w:tcPr>
            <w:tcW w:w="735" w:type="dxa"/>
            <w:tcBorders>
              <w:top w:val="nil"/>
              <w:bottom w:val="single" w:color="auto" w:sz="4" w:space="0"/>
            </w:tcBorders>
            <w:noWrap w:val="0"/>
            <w:vAlign w:val="center"/>
          </w:tcPr>
          <w:p>
            <w:pPr>
              <w:widowControl/>
              <w:jc w:val="center"/>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56" w:type="dxa"/>
            <w:tcBorders>
              <w:top w:val="single" w:color="auto" w:sz="4" w:space="0"/>
              <w:bottom w:val="single" w:color="auto" w:sz="4" w:space="0"/>
            </w:tcBorders>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合     计</w:t>
            </w:r>
          </w:p>
        </w:tc>
        <w:tc>
          <w:tcPr>
            <w:tcW w:w="1155"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101</w:t>
            </w:r>
          </w:p>
        </w:tc>
        <w:tc>
          <w:tcPr>
            <w:tcW w:w="945"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p>
        </w:tc>
        <w:tc>
          <w:tcPr>
            <w:tcW w:w="840"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50</w:t>
            </w:r>
          </w:p>
        </w:tc>
        <w:tc>
          <w:tcPr>
            <w:tcW w:w="840"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2</w:t>
            </w:r>
          </w:p>
        </w:tc>
        <w:tc>
          <w:tcPr>
            <w:tcW w:w="1365"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p>
        </w:tc>
        <w:tc>
          <w:tcPr>
            <w:tcW w:w="735"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p>
        </w:tc>
        <w:tc>
          <w:tcPr>
            <w:tcW w:w="735"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r>
              <w:rPr>
                <w:rFonts w:hint="eastAsia" w:ascii="仿宋" w:hAnsi="仿宋" w:eastAsia="仿宋" w:cs="仿宋"/>
                <w:sz w:val="30"/>
                <w:szCs w:val="30"/>
              </w:rPr>
              <w:t>15</w:t>
            </w:r>
          </w:p>
        </w:tc>
        <w:tc>
          <w:tcPr>
            <w:tcW w:w="735" w:type="dxa"/>
            <w:tcBorders>
              <w:top w:val="single" w:color="auto" w:sz="4" w:space="0"/>
              <w:bottom w:val="single" w:color="auto" w:sz="4" w:space="0"/>
            </w:tcBorders>
            <w:noWrap w:val="0"/>
            <w:vAlign w:val="center"/>
          </w:tcPr>
          <w:p>
            <w:pPr>
              <w:widowControl/>
              <w:jc w:val="center"/>
              <w:rPr>
                <w:rFonts w:hint="eastAsia" w:ascii="仿宋" w:hAnsi="仿宋" w:eastAsia="仿宋" w:cs="仿宋"/>
                <w:sz w:val="30"/>
                <w:szCs w:val="30"/>
              </w:rPr>
            </w:pPr>
          </w:p>
        </w:tc>
      </w:tr>
    </w:tbl>
    <w:p>
      <w:pPr>
        <w:widowControl/>
        <w:spacing w:after="160" w:line="580" w:lineRule="exact"/>
        <w:ind w:firstLine="600" w:firstLineChars="200"/>
        <w:rPr>
          <w:rFonts w:hint="eastAsia" w:ascii="仿宋" w:hAnsi="仿宋" w:eastAsia="仿宋" w:cs="仿宋"/>
          <w:sz w:val="30"/>
          <w:szCs w:val="30"/>
        </w:rPr>
      </w:pPr>
    </w:p>
    <w:p>
      <w:pPr>
        <w:widowControl/>
        <w:spacing w:after="160" w:line="580" w:lineRule="exact"/>
        <w:ind w:firstLine="600" w:firstLineChars="200"/>
        <w:rPr>
          <w:rFonts w:hint="eastAsia" w:ascii="仿宋" w:hAnsi="仿宋" w:eastAsia="仿宋" w:cs="仿宋"/>
          <w:sz w:val="30"/>
          <w:szCs w:val="30"/>
        </w:rPr>
      </w:pPr>
    </w:p>
    <w:p>
      <w:pPr>
        <w:widowControl/>
        <w:spacing w:after="160" w:line="580" w:lineRule="exact"/>
        <w:ind w:firstLine="600" w:firstLineChars="200"/>
        <w:rPr>
          <w:rFonts w:hint="eastAsia" w:ascii="仿宋" w:hAnsi="仿宋" w:eastAsia="仿宋" w:cs="仿宋"/>
          <w:sz w:val="30"/>
          <w:szCs w:val="30"/>
        </w:rPr>
      </w:pPr>
    </w:p>
    <w:p>
      <w:pPr>
        <w:widowControl/>
        <w:spacing w:after="160" w:line="580" w:lineRule="exact"/>
        <w:ind w:firstLine="600" w:firstLineChars="200"/>
        <w:rPr>
          <w:rFonts w:hint="eastAsia" w:ascii="仿宋" w:hAnsi="仿宋" w:eastAsia="仿宋" w:cs="仿宋"/>
          <w:sz w:val="30"/>
          <w:szCs w:val="30"/>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00" w:firstLineChars="200"/>
        <w:rPr>
          <w:rFonts w:hint="eastAsia" w:ascii="仿宋" w:hAnsi="仿宋" w:eastAsia="仿宋" w:cs="仿宋"/>
          <w:sz w:val="30"/>
          <w:szCs w:val="30"/>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600" w:firstLineChars="200"/>
        <w:rPr>
          <w:rFonts w:hint="eastAsia" w:ascii="仿宋" w:hAnsi="仿宋" w:eastAsia="仿宋" w:cs="仿宋"/>
          <w:sz w:val="30"/>
          <w:szCs w:val="30"/>
        </w:rPr>
        <w:sectPr>
          <w:pgSz w:w="11906" w:h="16838"/>
          <w:pgMar w:top="2041" w:right="1531" w:bottom="2041" w:left="1531" w:header="851" w:footer="992" w:gutter="0"/>
          <w:pgNumType w:fmt="numberInDash"/>
          <w:cols w:space="0" w:num="1"/>
          <w:titlePg/>
          <w:rtlGutter w:val="0"/>
          <w:docGrid w:type="lines" w:linePitch="312" w:charSpace="0"/>
        </w:sectPr>
      </w:pPr>
      <w:r>
        <w:rPr>
          <w:rFonts w:hint="eastAsia" w:ascii="仿宋" w:hAnsi="仿宋" w:eastAsia="仿宋" w:cs="仿宋"/>
          <w:sz w:val="30"/>
          <w:szCs w:val="30"/>
        </w:rPr>
        <mc:AlternateContent>
          <mc:Choice Requires="wps">
            <w:drawing>
              <wp:anchor distT="0" distB="0" distL="114300" distR="114300" simplePos="0" relativeHeight="322162995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107333734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00" w:firstLineChars="200"/>
        <w:rPr>
          <w:rFonts w:hint="eastAsia" w:ascii="仿宋" w:hAnsi="仿宋" w:eastAsia="仿宋" w:cs="仿宋"/>
          <w:sz w:val="30"/>
          <w:szCs w:val="30"/>
        </w:rPr>
      </w:pPr>
    </w:p>
    <w:p>
      <w:pPr>
        <w:jc w:val="center"/>
        <w:rPr>
          <w:rFonts w:hint="eastAsia" w:ascii="仿宋" w:hAnsi="仿宋" w:eastAsia="仿宋" w:cs="仿宋"/>
          <w:sz w:val="30"/>
          <w:szCs w:val="30"/>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322163200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107333529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一、收入</w:t>
      </w:r>
      <w:r>
        <w:rPr>
          <w:rFonts w:hint="eastAsia" w:ascii="仿宋" w:hAnsi="仿宋" w:eastAsia="仿宋" w:cs="仿宋"/>
          <w:b w:val="0"/>
          <w:bCs w:val="0"/>
          <w:kern w:val="0"/>
          <w:sz w:val="30"/>
          <w:szCs w:val="30"/>
          <w:lang w:val="en-US" w:eastAsia="zh-CN" w:bidi="ar-SA"/>
        </w:rPr>
        <w:t>支出</w:t>
      </w:r>
      <w:r>
        <w:rPr>
          <w:rFonts w:hint="eastAsia" w:ascii="仿宋" w:hAnsi="仿宋" w:eastAsia="仿宋" w:cs="仿宋"/>
          <w:b w:val="0"/>
          <w:bCs w:val="0"/>
          <w:kern w:val="2"/>
          <w:sz w:val="30"/>
          <w:szCs w:val="30"/>
          <w:lang w:val="en-US" w:eastAsia="zh-CN" w:bidi="ar-SA"/>
        </w:rPr>
        <w:t>决算总体情况说明</w:t>
      </w:r>
    </w:p>
    <w:p>
      <w:pPr>
        <w:autoSpaceDE w:val="0"/>
        <w:autoSpaceDN w:val="0"/>
        <w:adjustRightInd w:val="0"/>
        <w:ind w:firstLine="570"/>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度一般公共预算财政拨款年初结转和结余0万元，本年收入1</w:t>
      </w:r>
      <w:r>
        <w:rPr>
          <w:rFonts w:hint="eastAsia" w:ascii="仿宋" w:hAnsi="仿宋" w:eastAsia="仿宋" w:cs="仿宋"/>
          <w:sz w:val="30"/>
          <w:szCs w:val="30"/>
          <w:lang w:val="en-US" w:eastAsia="zh-CN"/>
        </w:rPr>
        <w:t>778.21</w:t>
      </w:r>
      <w:r>
        <w:rPr>
          <w:rFonts w:hint="eastAsia" w:ascii="仿宋" w:hAnsi="仿宋" w:eastAsia="仿宋" w:cs="仿宋"/>
          <w:sz w:val="30"/>
          <w:szCs w:val="30"/>
        </w:rPr>
        <w:t>万元，本年支出1</w:t>
      </w:r>
      <w:r>
        <w:rPr>
          <w:rFonts w:hint="eastAsia" w:ascii="仿宋" w:hAnsi="仿宋" w:eastAsia="仿宋" w:cs="仿宋"/>
          <w:sz w:val="30"/>
          <w:szCs w:val="30"/>
          <w:lang w:val="en-US" w:eastAsia="zh-CN"/>
        </w:rPr>
        <w:t>778.21</w:t>
      </w:r>
      <w:r>
        <w:rPr>
          <w:rFonts w:hint="eastAsia" w:ascii="仿宋" w:hAnsi="仿宋" w:eastAsia="仿宋" w:cs="仿宋"/>
          <w:sz w:val="30"/>
          <w:szCs w:val="30"/>
        </w:rPr>
        <w:t>万元，年末结转和结余0万元</w:t>
      </w:r>
      <w:r>
        <w:rPr>
          <w:rFonts w:hint="eastAsia" w:ascii="仿宋" w:hAnsi="仿宋" w:eastAsia="仿宋" w:cs="仿宋"/>
          <w:sz w:val="30"/>
          <w:szCs w:val="30"/>
          <w:lang w:eastAsia="zh-CN"/>
        </w:rPr>
        <w:t>，</w:t>
      </w:r>
      <w:r>
        <w:rPr>
          <w:rFonts w:hint="eastAsia" w:ascii="仿宋" w:hAnsi="仿宋" w:eastAsia="仿宋" w:cs="仿宋"/>
          <w:sz w:val="30"/>
          <w:szCs w:val="30"/>
        </w:rPr>
        <w:t>与</w:t>
      </w:r>
      <w:r>
        <w:rPr>
          <w:rFonts w:hint="eastAsia" w:ascii="仿宋" w:hAnsi="仿宋" w:eastAsia="仿宋" w:cs="仿宋"/>
          <w:sz w:val="30"/>
          <w:szCs w:val="30"/>
          <w:lang w:eastAsia="zh-CN"/>
        </w:rPr>
        <w:t>2018年</w:t>
      </w:r>
      <w:r>
        <w:rPr>
          <w:rFonts w:hint="eastAsia" w:ascii="仿宋" w:hAnsi="仿宋" w:eastAsia="仿宋" w:cs="仿宋"/>
          <w:sz w:val="30"/>
          <w:szCs w:val="30"/>
        </w:rPr>
        <w:t>度决算相比，</w:t>
      </w:r>
      <w:r>
        <w:rPr>
          <w:rFonts w:hint="eastAsia" w:ascii="仿宋" w:hAnsi="仿宋" w:eastAsia="仿宋" w:cs="仿宋"/>
          <w:sz w:val="30"/>
          <w:szCs w:val="30"/>
          <w:lang w:val="en-US" w:eastAsia="zh-CN"/>
        </w:rPr>
        <w:t>收支各增加702.27万元，增长65.27</w:t>
      </w:r>
      <w:r>
        <w:rPr>
          <w:rFonts w:hint="eastAsia" w:ascii="仿宋" w:hAnsi="仿宋" w:eastAsia="仿宋" w:cs="仿宋"/>
          <w:sz w:val="30"/>
          <w:szCs w:val="30"/>
        </w:rPr>
        <w:t>%</w:t>
      </w:r>
      <w:r>
        <w:rPr>
          <w:rFonts w:hint="eastAsia" w:ascii="仿宋" w:hAnsi="仿宋" w:eastAsia="仿宋" w:cs="仿宋"/>
          <w:sz w:val="30"/>
          <w:szCs w:val="30"/>
          <w:lang w:val="en-US" w:eastAsia="zh-CN"/>
        </w:rPr>
        <w:t>，</w:t>
      </w:r>
      <w:r>
        <w:rPr>
          <w:rFonts w:hint="eastAsia" w:ascii="仿宋" w:hAnsi="仿宋" w:eastAsia="仿宋" w:cs="仿宋"/>
          <w:sz w:val="30"/>
          <w:szCs w:val="30"/>
        </w:rPr>
        <w:t>主要</w:t>
      </w:r>
      <w:r>
        <w:rPr>
          <w:rFonts w:hint="eastAsia" w:ascii="仿宋" w:hAnsi="仿宋" w:eastAsia="仿宋" w:cs="仿宋"/>
          <w:sz w:val="30"/>
          <w:szCs w:val="30"/>
          <w:lang w:val="en-US" w:eastAsia="zh-CN"/>
        </w:rPr>
        <w:t>原因</w:t>
      </w:r>
      <w:r>
        <w:rPr>
          <w:rFonts w:hint="eastAsia" w:ascii="仿宋" w:hAnsi="仿宋" w:eastAsia="仿宋" w:cs="仿宋"/>
          <w:sz w:val="30"/>
          <w:szCs w:val="30"/>
        </w:rPr>
        <w:t>是</w:t>
      </w:r>
      <w:r>
        <w:rPr>
          <w:rFonts w:hint="eastAsia" w:ascii="仿宋" w:hAnsi="仿宋" w:eastAsia="仿宋" w:cs="仿宋"/>
          <w:sz w:val="30"/>
          <w:szCs w:val="30"/>
          <w:lang w:eastAsia="zh-CN"/>
        </w:rPr>
        <w:t>人员及车辆增加</w:t>
      </w:r>
      <w:r>
        <w:rPr>
          <w:rFonts w:hint="eastAsia" w:ascii="仿宋" w:hAnsi="仿宋" w:eastAsia="仿宋" w:cs="仿宋"/>
          <w:sz w:val="30"/>
          <w:szCs w:val="30"/>
        </w:rPr>
        <w:t>。</w:t>
      </w: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二、收入决算情况说明</w:t>
      </w: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bCs/>
          <w:kern w:val="2"/>
          <w:sz w:val="30"/>
          <w:szCs w:val="30"/>
          <w:lang w:val="en-US" w:eastAsia="zh-CN" w:bidi="ar-SA"/>
        </w:rPr>
      </w:pP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度本年收入合计</w:t>
      </w:r>
      <w:r>
        <w:rPr>
          <w:rFonts w:hint="eastAsia" w:ascii="仿宋" w:hAnsi="仿宋" w:eastAsia="仿宋" w:cs="仿宋"/>
          <w:sz w:val="30"/>
          <w:szCs w:val="30"/>
          <w:lang w:val="en-US" w:eastAsia="zh-CN"/>
        </w:rPr>
        <w:t>1778.21</w:t>
      </w:r>
      <w:r>
        <w:rPr>
          <w:rFonts w:hint="eastAsia" w:ascii="仿宋" w:hAnsi="仿宋" w:eastAsia="仿宋" w:cs="仿宋"/>
          <w:sz w:val="30"/>
          <w:szCs w:val="30"/>
        </w:rPr>
        <w:t>万元，其中：财政拨款收入</w:t>
      </w:r>
      <w:r>
        <w:rPr>
          <w:rFonts w:hint="eastAsia" w:ascii="仿宋" w:hAnsi="仿宋" w:eastAsia="仿宋" w:cs="仿宋"/>
          <w:sz w:val="30"/>
          <w:szCs w:val="30"/>
          <w:lang w:val="en-US" w:eastAsia="zh-CN"/>
        </w:rPr>
        <w:t>1778.21</w:t>
      </w:r>
      <w:r>
        <w:rPr>
          <w:rFonts w:hint="eastAsia" w:ascii="仿宋" w:hAnsi="仿宋" w:eastAsia="仿宋" w:cs="仿宋"/>
          <w:sz w:val="30"/>
          <w:szCs w:val="30"/>
        </w:rPr>
        <w:t>万元</w:t>
      </w:r>
      <w:r>
        <w:rPr>
          <w:rFonts w:hint="eastAsia" w:ascii="仿宋" w:hAnsi="仿宋" w:eastAsia="仿宋" w:cs="仿宋"/>
          <w:sz w:val="30"/>
          <w:szCs w:val="30"/>
          <w:lang w:eastAsia="zh-CN"/>
        </w:rPr>
        <w:t>。</w:t>
      </w: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三、支出决算情况说明</w:t>
      </w: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bCs/>
          <w:kern w:val="2"/>
          <w:sz w:val="30"/>
          <w:szCs w:val="30"/>
          <w:lang w:val="en-US" w:eastAsia="zh-CN" w:bidi="ar-SA"/>
        </w:rPr>
      </w:pP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度本年支出合计</w:t>
      </w:r>
      <w:r>
        <w:rPr>
          <w:rFonts w:hint="eastAsia" w:ascii="仿宋" w:hAnsi="仿宋" w:eastAsia="仿宋" w:cs="仿宋"/>
          <w:sz w:val="30"/>
          <w:szCs w:val="30"/>
          <w:lang w:val="en-US" w:eastAsia="zh-CN"/>
        </w:rPr>
        <w:t>1778.21</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938.17</w:t>
      </w:r>
      <w:r>
        <w:rPr>
          <w:rFonts w:hint="eastAsia" w:ascii="仿宋" w:hAnsi="仿宋" w:eastAsia="仿宋" w:cs="仿宋"/>
          <w:sz w:val="30"/>
          <w:szCs w:val="30"/>
        </w:rPr>
        <w:t>万元，占</w:t>
      </w:r>
      <w:r>
        <w:rPr>
          <w:rFonts w:hint="eastAsia" w:ascii="仿宋" w:hAnsi="仿宋" w:eastAsia="仿宋" w:cs="仿宋"/>
          <w:sz w:val="30"/>
          <w:szCs w:val="30"/>
          <w:lang w:val="en-US" w:eastAsia="zh-CN"/>
        </w:rPr>
        <w:t>52.76</w:t>
      </w:r>
      <w:r>
        <w:rPr>
          <w:rFonts w:hint="eastAsia" w:ascii="仿宋" w:hAnsi="仿宋" w:eastAsia="仿宋" w:cs="仿宋"/>
          <w:sz w:val="30"/>
          <w:szCs w:val="30"/>
        </w:rPr>
        <w:t>%；项目支出</w:t>
      </w:r>
      <w:r>
        <w:rPr>
          <w:rFonts w:hint="eastAsia" w:ascii="仿宋" w:hAnsi="仿宋" w:eastAsia="仿宋" w:cs="仿宋"/>
          <w:sz w:val="30"/>
          <w:szCs w:val="30"/>
          <w:lang w:val="en-US" w:eastAsia="zh-CN"/>
        </w:rPr>
        <w:t>840.04</w:t>
      </w:r>
      <w:r>
        <w:rPr>
          <w:rFonts w:hint="eastAsia" w:ascii="仿宋" w:hAnsi="仿宋" w:eastAsia="仿宋" w:cs="仿宋"/>
          <w:sz w:val="30"/>
          <w:szCs w:val="30"/>
        </w:rPr>
        <w:t>万元，占</w:t>
      </w:r>
      <w:r>
        <w:rPr>
          <w:rFonts w:hint="eastAsia" w:ascii="仿宋" w:hAnsi="仿宋" w:eastAsia="仿宋" w:cs="仿宋"/>
          <w:sz w:val="30"/>
          <w:szCs w:val="30"/>
          <w:lang w:val="en-US" w:eastAsia="zh-CN"/>
        </w:rPr>
        <w:t>47.24</w:t>
      </w:r>
      <w:r>
        <w:rPr>
          <w:rFonts w:hint="eastAsia" w:ascii="仿宋" w:hAnsi="仿宋" w:eastAsia="仿宋" w:cs="仿宋"/>
          <w:sz w:val="30"/>
          <w:szCs w:val="30"/>
        </w:rPr>
        <w:t>%；经营支出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万元，占</w:t>
      </w:r>
      <w:r>
        <w:rPr>
          <w:rFonts w:hint="eastAsia" w:ascii="仿宋" w:hAnsi="仿宋" w:eastAsia="仿宋" w:cs="仿宋"/>
          <w:sz w:val="30"/>
          <w:szCs w:val="30"/>
          <w:lang w:val="en-US" w:eastAsia="zh-CN"/>
        </w:rPr>
        <w:t>0</w:t>
      </w:r>
      <w:r>
        <w:rPr>
          <w:rFonts w:hint="eastAsia" w:ascii="仿宋" w:hAnsi="仿宋" w:eastAsia="仿宋" w:cs="仿宋"/>
          <w:sz w:val="30"/>
          <w:szCs w:val="30"/>
        </w:rPr>
        <w:t>%。</w:t>
      </w: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四、</w:t>
      </w:r>
      <w:r>
        <w:rPr>
          <w:rFonts w:hint="eastAsia" w:ascii="仿宋" w:hAnsi="仿宋" w:eastAsia="仿宋" w:cs="仿宋"/>
          <w:b w:val="0"/>
          <w:bCs w:val="0"/>
          <w:kern w:val="0"/>
          <w:sz w:val="30"/>
          <w:szCs w:val="30"/>
          <w:lang w:val="en-US" w:eastAsia="zh-CN" w:bidi="ar-SA"/>
        </w:rPr>
        <w:t>财政</w:t>
      </w:r>
      <w:r>
        <w:rPr>
          <w:rFonts w:hint="eastAsia" w:ascii="仿宋" w:hAnsi="仿宋" w:eastAsia="仿宋" w:cs="仿宋"/>
          <w:b w:val="0"/>
          <w:bCs w:val="0"/>
          <w:kern w:val="2"/>
          <w:sz w:val="30"/>
          <w:szCs w:val="30"/>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（一）财政拨款收支与</w:t>
      </w:r>
      <w:r>
        <w:rPr>
          <w:rFonts w:hint="eastAsia" w:ascii="仿宋" w:hAnsi="仿宋" w:eastAsia="仿宋" w:cs="仿宋"/>
          <w:b/>
          <w:bCs/>
          <w:sz w:val="30"/>
          <w:szCs w:val="30"/>
          <w:lang w:eastAsia="zh-CN"/>
        </w:rPr>
        <w:t>2018</w:t>
      </w:r>
      <w:r>
        <w:rPr>
          <w:rFonts w:hint="eastAsia" w:ascii="仿宋" w:hAnsi="仿宋" w:eastAsia="仿宋" w:cs="仿宋"/>
          <w:b/>
          <w:bCs/>
          <w:sz w:val="30"/>
          <w:szCs w:val="30"/>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b/>
          <w:bCs/>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w:t>
      </w:r>
      <w:r>
        <w:rPr>
          <w:rFonts w:hint="eastAsia" w:ascii="仿宋" w:hAnsi="仿宋" w:eastAsia="仿宋" w:cs="仿宋"/>
          <w:sz w:val="30"/>
          <w:szCs w:val="30"/>
          <w:lang w:val="en-US" w:eastAsia="zh-CN"/>
        </w:rPr>
        <w:t>形成的财政拨款收支均为一般公共预算</w:t>
      </w:r>
      <w:r>
        <w:rPr>
          <w:rFonts w:hint="eastAsia" w:ascii="仿宋" w:hAnsi="仿宋" w:eastAsia="仿宋" w:cs="仿宋"/>
          <w:sz w:val="30"/>
          <w:szCs w:val="30"/>
        </w:rPr>
        <w:t>财政拨款</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其中本年收入1778.21</w:t>
      </w:r>
      <w:r>
        <w:rPr>
          <w:rFonts w:hint="eastAsia" w:ascii="仿宋" w:hAnsi="仿宋" w:eastAsia="仿宋" w:cs="仿宋"/>
          <w:sz w:val="30"/>
          <w:szCs w:val="30"/>
        </w:rPr>
        <w:t>万元</w:t>
      </w:r>
      <w:r>
        <w:rPr>
          <w:rFonts w:hint="eastAsia" w:ascii="仿宋" w:hAnsi="仿宋" w:eastAsia="仿宋" w:cs="仿宋"/>
          <w:sz w:val="30"/>
          <w:szCs w:val="30"/>
          <w:lang w:val="en-US" w:eastAsia="zh-CN"/>
        </w:rPr>
        <w:t>,比2018年度</w:t>
      </w:r>
      <w:r>
        <w:rPr>
          <w:rFonts w:hint="eastAsia" w:ascii="仿宋" w:hAnsi="仿宋" w:eastAsia="仿宋" w:cs="仿宋"/>
          <w:sz w:val="30"/>
          <w:szCs w:val="30"/>
        </w:rPr>
        <w:t>增加</w:t>
      </w:r>
      <w:r>
        <w:rPr>
          <w:rFonts w:hint="eastAsia" w:ascii="仿宋" w:hAnsi="仿宋" w:eastAsia="仿宋" w:cs="仿宋"/>
          <w:sz w:val="30"/>
          <w:szCs w:val="30"/>
          <w:lang w:val="en-US" w:eastAsia="zh-CN"/>
        </w:rPr>
        <w:t>702.27</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65.27</w:t>
      </w:r>
      <w:r>
        <w:rPr>
          <w:rFonts w:hint="eastAsia" w:ascii="仿宋" w:hAnsi="仿宋" w:eastAsia="仿宋" w:cs="仿宋"/>
          <w:sz w:val="30"/>
          <w:szCs w:val="30"/>
        </w:rPr>
        <w:t>%，主要是</w:t>
      </w:r>
      <w:r>
        <w:rPr>
          <w:rFonts w:hint="eastAsia" w:ascii="仿宋" w:hAnsi="仿宋" w:eastAsia="仿宋" w:cs="仿宋"/>
          <w:sz w:val="30"/>
          <w:szCs w:val="30"/>
          <w:lang w:eastAsia="zh-CN"/>
        </w:rPr>
        <w:t>人员及车辆增加</w:t>
      </w:r>
      <w:r>
        <w:rPr>
          <w:rFonts w:hint="eastAsia" w:ascii="仿宋" w:hAnsi="仿宋" w:eastAsia="仿宋" w:cs="仿宋"/>
          <w:sz w:val="30"/>
          <w:szCs w:val="30"/>
        </w:rPr>
        <w:t>；</w:t>
      </w:r>
      <w:r>
        <w:rPr>
          <w:rFonts w:hint="eastAsia" w:ascii="仿宋" w:hAnsi="仿宋" w:eastAsia="仿宋" w:cs="仿宋"/>
          <w:sz w:val="30"/>
          <w:szCs w:val="30"/>
          <w:lang w:val="en-US" w:eastAsia="zh-CN"/>
        </w:rPr>
        <w:t>本年</w:t>
      </w:r>
      <w:r>
        <w:rPr>
          <w:rFonts w:hint="eastAsia" w:ascii="仿宋" w:hAnsi="仿宋" w:eastAsia="仿宋" w:cs="仿宋"/>
          <w:sz w:val="30"/>
          <w:szCs w:val="30"/>
        </w:rPr>
        <w:t>支出</w:t>
      </w:r>
      <w:r>
        <w:rPr>
          <w:rFonts w:hint="eastAsia" w:ascii="仿宋" w:hAnsi="仿宋" w:eastAsia="仿宋" w:cs="仿宋"/>
          <w:sz w:val="30"/>
          <w:szCs w:val="30"/>
          <w:lang w:val="en-US" w:eastAsia="zh-CN"/>
        </w:rPr>
        <w:t>1778.21</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增加</w:t>
      </w:r>
      <w:r>
        <w:rPr>
          <w:rFonts w:hint="eastAsia" w:ascii="仿宋" w:hAnsi="仿宋" w:eastAsia="仿宋" w:cs="仿宋"/>
          <w:sz w:val="30"/>
          <w:szCs w:val="30"/>
          <w:lang w:val="en-US" w:eastAsia="zh-CN"/>
        </w:rPr>
        <w:t>702.27</w:t>
      </w:r>
      <w:r>
        <w:rPr>
          <w:rFonts w:hint="eastAsia" w:ascii="仿宋" w:hAnsi="仿宋" w:eastAsia="仿宋" w:cs="仿宋"/>
          <w:sz w:val="30"/>
          <w:szCs w:val="30"/>
        </w:rPr>
        <w:t>万元，增长</w:t>
      </w:r>
      <w:r>
        <w:rPr>
          <w:rFonts w:hint="eastAsia" w:ascii="仿宋" w:hAnsi="仿宋" w:eastAsia="仿宋" w:cs="仿宋"/>
          <w:sz w:val="30"/>
          <w:szCs w:val="30"/>
          <w:lang w:val="en-US" w:eastAsia="zh-CN"/>
        </w:rPr>
        <w:t>65.27</w:t>
      </w:r>
      <w:r>
        <w:rPr>
          <w:rFonts w:hint="eastAsia" w:ascii="仿宋" w:hAnsi="仿宋" w:eastAsia="仿宋" w:cs="仿宋"/>
          <w:sz w:val="30"/>
          <w:szCs w:val="30"/>
        </w:rPr>
        <w:t>%，主要是</w:t>
      </w:r>
      <w:r>
        <w:rPr>
          <w:rFonts w:hint="eastAsia" w:ascii="仿宋" w:hAnsi="仿宋" w:eastAsia="仿宋" w:cs="仿宋"/>
          <w:sz w:val="30"/>
          <w:szCs w:val="30"/>
          <w:lang w:eastAsia="zh-CN"/>
        </w:rPr>
        <w:t>人员经费增加及车辆运维费增加</w:t>
      </w:r>
      <w:r>
        <w:rPr>
          <w:rFonts w:hint="eastAsia" w:ascii="仿宋" w:hAnsi="仿宋" w:eastAsia="仿宋" w:cs="仿宋"/>
          <w:sz w:val="30"/>
          <w:szCs w:val="30"/>
        </w:rPr>
        <w:t>。</w:t>
      </w:r>
    </w:p>
    <w:p>
      <w:pPr>
        <w:pageBreakBefore w:val="0"/>
        <w:widowControl w:val="0"/>
        <w:kinsoku/>
        <w:wordWrap/>
        <w:overflowPunct/>
        <w:topLinePunct w:val="0"/>
        <w:autoSpaceDE/>
        <w:autoSpaceDN/>
        <w:bidi w:val="0"/>
        <w:snapToGrid w:val="0"/>
        <w:spacing w:line="580" w:lineRule="exact"/>
        <w:ind w:right="0" w:righ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sz w:val="30"/>
          <w:szCs w:val="30"/>
          <w:highlight w:val="yellow"/>
        </w:rPr>
      </w:pP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w:t>
      </w:r>
      <w:r>
        <w:rPr>
          <w:rFonts w:hint="eastAsia" w:ascii="仿宋" w:hAnsi="仿宋" w:eastAsia="仿宋" w:cs="仿宋"/>
          <w:sz w:val="30"/>
          <w:szCs w:val="30"/>
          <w:lang w:val="en-US" w:eastAsia="zh-CN"/>
        </w:rPr>
        <w:t>一般公共预算</w:t>
      </w:r>
      <w:r>
        <w:rPr>
          <w:rFonts w:hint="eastAsia" w:ascii="仿宋" w:hAnsi="仿宋" w:eastAsia="仿宋" w:cs="仿宋"/>
          <w:sz w:val="30"/>
          <w:szCs w:val="30"/>
        </w:rPr>
        <w:t>财政拨款收入</w:t>
      </w:r>
      <w:r>
        <w:rPr>
          <w:rFonts w:hint="eastAsia" w:ascii="仿宋" w:hAnsi="仿宋" w:eastAsia="仿宋" w:cs="仿宋"/>
          <w:sz w:val="30"/>
          <w:szCs w:val="30"/>
          <w:lang w:val="en-US" w:eastAsia="zh-CN"/>
        </w:rPr>
        <w:t>1778.21万元，完成年初预算的111.13%,比年初预算增加178.22</w:t>
      </w:r>
      <w:r>
        <w:rPr>
          <w:rFonts w:hint="eastAsia" w:ascii="仿宋" w:hAnsi="仿宋" w:eastAsia="仿宋" w:cs="仿宋"/>
          <w:sz w:val="30"/>
          <w:szCs w:val="30"/>
        </w:rPr>
        <w:t>万元，</w:t>
      </w:r>
      <w:r>
        <w:rPr>
          <w:rFonts w:hint="eastAsia" w:ascii="仿宋" w:hAnsi="仿宋" w:eastAsia="仿宋" w:cs="仿宋"/>
          <w:sz w:val="30"/>
          <w:szCs w:val="30"/>
          <w:lang w:val="en-US" w:eastAsia="zh-CN"/>
        </w:rPr>
        <w:t>决算数大于预算数主要原因</w:t>
      </w:r>
      <w:r>
        <w:rPr>
          <w:rFonts w:hint="eastAsia" w:ascii="仿宋" w:hAnsi="仿宋" w:eastAsia="仿宋" w:cs="仿宋"/>
          <w:sz w:val="30"/>
          <w:szCs w:val="30"/>
        </w:rPr>
        <w:t>是</w:t>
      </w:r>
      <w:r>
        <w:rPr>
          <w:rFonts w:hint="eastAsia" w:ascii="仿宋" w:hAnsi="仿宋" w:eastAsia="仿宋" w:cs="仿宋"/>
          <w:sz w:val="30"/>
          <w:szCs w:val="30"/>
          <w:lang w:eastAsia="zh-CN"/>
        </w:rPr>
        <w:t>人员经费增加及车辆运维费增加</w:t>
      </w:r>
      <w:r>
        <w:rPr>
          <w:rFonts w:hint="eastAsia" w:ascii="仿宋" w:hAnsi="仿宋" w:eastAsia="仿宋" w:cs="仿宋"/>
          <w:sz w:val="30"/>
          <w:szCs w:val="30"/>
        </w:rPr>
        <w:t>；本年支出</w:t>
      </w:r>
      <w:r>
        <w:rPr>
          <w:rFonts w:hint="eastAsia" w:ascii="仿宋" w:hAnsi="仿宋" w:eastAsia="仿宋" w:cs="仿宋"/>
          <w:sz w:val="30"/>
          <w:szCs w:val="30"/>
          <w:lang w:val="en-US" w:eastAsia="zh-CN"/>
        </w:rPr>
        <w:t>1778.21万元，完成年初预算的111.13%,比年初预算增加178.22</w:t>
      </w:r>
      <w:r>
        <w:rPr>
          <w:rFonts w:hint="eastAsia" w:ascii="仿宋" w:hAnsi="仿宋" w:eastAsia="仿宋" w:cs="仿宋"/>
          <w:sz w:val="30"/>
          <w:szCs w:val="30"/>
        </w:rPr>
        <w:t>万元，</w:t>
      </w:r>
      <w:r>
        <w:rPr>
          <w:rFonts w:hint="eastAsia" w:ascii="仿宋" w:hAnsi="仿宋" w:eastAsia="仿宋" w:cs="仿宋"/>
          <w:sz w:val="30"/>
          <w:szCs w:val="30"/>
          <w:lang w:val="en-US" w:eastAsia="zh-CN"/>
        </w:rPr>
        <w:t>决算数大于预算数主要原因</w:t>
      </w:r>
      <w:r>
        <w:rPr>
          <w:rFonts w:hint="eastAsia" w:ascii="仿宋" w:hAnsi="仿宋" w:eastAsia="仿宋" w:cs="仿宋"/>
          <w:sz w:val="30"/>
          <w:szCs w:val="30"/>
        </w:rPr>
        <w:t>是主要是</w:t>
      </w:r>
      <w:r>
        <w:rPr>
          <w:rFonts w:hint="eastAsia" w:ascii="仿宋" w:hAnsi="仿宋" w:eastAsia="仿宋" w:cs="仿宋"/>
          <w:sz w:val="30"/>
          <w:szCs w:val="30"/>
          <w:lang w:eastAsia="zh-CN"/>
        </w:rPr>
        <w:t>人员经费增加及车辆运维费增加</w:t>
      </w:r>
      <w:r>
        <w:rPr>
          <w:rFonts w:hint="eastAsia" w:ascii="仿宋" w:hAnsi="仿宋" w:eastAsia="仿宋" w:cs="仿宋"/>
          <w:sz w:val="30"/>
          <w:szCs w:val="30"/>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2019 年度财政拨款支出1778.21万元，主要用于以下方面一般公共服务（类）支出1608.45万元，占90.45%，；社会保障和就业（类）支出 93.44万元，占5.25%；住房保障（类）支出51.81万元，占 2.91%;卫生健康支出24.51万元，占1.37%。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300" w:firstLineChars="100"/>
        <w:jc w:val="both"/>
        <w:textAlignment w:val="auto"/>
        <w:rPr>
          <w:rFonts w:hint="eastAsia" w:ascii="仿宋" w:hAnsi="仿宋" w:eastAsia="仿宋" w:cs="仿宋"/>
          <w:b/>
          <w:bCs/>
          <w:sz w:val="30"/>
          <w:szCs w:val="30"/>
          <w:lang w:val="en-US" w:eastAsia="zh-CN"/>
        </w:rPr>
      </w:pPr>
      <w:r>
        <w:rPr>
          <w:rFonts w:hint="eastAsia" w:ascii="仿宋" w:hAnsi="仿宋" w:eastAsia="仿宋" w:cs="仿宋"/>
          <w:sz w:val="30"/>
          <w:szCs w:val="30"/>
        </w:rPr>
        <mc:AlternateContent>
          <mc:Choice Requires="wps">
            <w:drawing>
              <wp:anchor distT="0" distB="0" distL="114300" distR="114300" simplePos="0" relativeHeight="3221630976" behindDoc="1" locked="0" layoutInCell="1" allowOverlap="1">
                <wp:simplePos x="0" y="0"/>
                <wp:positionH relativeFrom="column">
                  <wp:posOffset>981075</wp:posOffset>
                </wp:positionH>
                <wp:positionV relativeFrom="paragraph">
                  <wp:posOffset>923290</wp:posOffset>
                </wp:positionV>
                <wp:extent cx="3576320" cy="391795"/>
                <wp:effectExtent l="0" t="0" r="5080" b="8255"/>
                <wp:wrapNone/>
                <wp:docPr id="164" name="文本框 32"/>
                <wp:cNvGraphicFramePr/>
                <a:graphic xmlns:a="http://schemas.openxmlformats.org/drawingml/2006/main">
                  <a:graphicData uri="http://schemas.microsoft.com/office/word/2010/wordprocessingShape">
                    <wps:wsp>
                      <wps:cNvSpPr txBox="1"/>
                      <wps:spPr>
                        <a:xfrm>
                          <a:off x="1989455" y="9621520"/>
                          <a:ext cx="3576320" cy="391795"/>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160" w:line="480" w:lineRule="auto"/>
                              <w:rPr>
                                <w:rFonts w:ascii="Times New Roman" w:hAnsi="Times New Roman" w:eastAsia="宋体" w:cs="Times New Roman"/>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77.25pt;margin-top:72.7pt;height:30.85pt;width:281.6pt;z-index:-1576652800;mso-width-relative:page;mso-height-relative:page;" fillcolor="#FFFFFF" filled="t" stroked="f" coordsize="21600,21600" o:gfxdata="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uccT1gAAAAsBAAAPAAAAAAAAAAEAIAAAACIAAABkcnMvZG93bnJldi54bWxQSwECFAAUAAAA&#10;CACHTuJAvAI7sWICAACsBAAADgAAAAAAAAABACAAAAAlAQAAZHJzL2Uyb0RvYy54bWxQSwUGAAAA&#10;AAYABgBZAQAA+QUAAAAA&#10;">
                <v:fill on="t" focussize="0,0"/>
                <v:stroke on="f" weight="0.5pt"/>
                <v:imagedata o:title=""/>
                <o:lock v:ext="edit" aspectratio="f"/>
                <v:textbox>
                  <w:txbxContent>
                    <w:p>
                      <w:pPr>
                        <w:spacing w:after="160" w:line="480" w:lineRule="auto"/>
                        <w:rPr>
                          <w:rFonts w:ascii="Times New Roman" w:hAnsi="Times New Roman" w:eastAsia="宋体" w:cs="Times New Roman"/>
                          <w:sz w:val="20"/>
                          <w:szCs w:val="22"/>
                        </w:rPr>
                      </w:pPr>
                    </w:p>
                  </w:txbxContent>
                </v:textbox>
              </v:shape>
            </w:pict>
          </mc:Fallback>
        </mc:AlternateContent>
      </w:r>
      <w:r>
        <w:rPr>
          <w:rFonts w:hint="eastAsia" w:ascii="仿宋" w:hAnsi="仿宋" w:eastAsia="仿宋" w:cs="仿宋"/>
          <w:b/>
          <w:bCs/>
          <w:sz w:val="30"/>
          <w:szCs w:val="30"/>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2019 年度财政拨款基本支出</w:t>
      </w:r>
      <w:r>
        <w:rPr>
          <w:rFonts w:hint="eastAsia" w:ascii="仿宋" w:hAnsi="仿宋" w:eastAsia="仿宋" w:cs="仿宋"/>
          <w:sz w:val="30"/>
          <w:szCs w:val="30"/>
          <w:lang w:val="en-US" w:eastAsia="zh-CN"/>
        </w:rPr>
        <w:t>938.17</w:t>
      </w:r>
      <w:r>
        <w:rPr>
          <w:rFonts w:hint="eastAsia" w:ascii="仿宋" w:hAnsi="仿宋" w:eastAsia="仿宋" w:cs="仿宋"/>
          <w:b w:val="0"/>
          <w:bCs w:val="0"/>
          <w:kern w:val="2"/>
          <w:sz w:val="30"/>
          <w:szCs w:val="30"/>
          <w:lang w:val="en-US" w:eastAsia="zh-CN" w:bidi="ar-SA"/>
        </w:rPr>
        <w:t>万元，其中：人员经费 747.56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190.61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度“三公”经费支出共计</w:t>
      </w:r>
      <w:r>
        <w:rPr>
          <w:rFonts w:hint="eastAsia" w:ascii="仿宋" w:hAnsi="仿宋" w:eastAsia="仿宋" w:cs="仿宋"/>
          <w:sz w:val="30"/>
          <w:szCs w:val="30"/>
          <w:lang w:val="en-US" w:eastAsia="zh-CN"/>
        </w:rPr>
        <w:t>79.05</w:t>
      </w:r>
      <w:r>
        <w:rPr>
          <w:rFonts w:hint="eastAsia" w:ascii="仿宋" w:hAnsi="仿宋" w:eastAsia="仿宋" w:cs="仿宋"/>
          <w:sz w:val="30"/>
          <w:szCs w:val="30"/>
        </w:rPr>
        <w:t>万元，</w:t>
      </w:r>
      <w:r>
        <w:rPr>
          <w:rFonts w:hint="eastAsia" w:ascii="仿宋" w:hAnsi="仿宋" w:eastAsia="仿宋" w:cs="仿宋"/>
          <w:sz w:val="30"/>
          <w:szCs w:val="30"/>
          <w:lang w:eastAsia="zh-CN"/>
        </w:rPr>
        <w:t>完成预算的</w:t>
      </w:r>
      <w:r>
        <w:rPr>
          <w:rFonts w:hint="eastAsia" w:ascii="仿宋" w:hAnsi="仿宋" w:eastAsia="仿宋" w:cs="仿宋"/>
          <w:sz w:val="30"/>
          <w:szCs w:val="30"/>
          <w:lang w:val="en-US" w:eastAsia="zh-CN"/>
        </w:rPr>
        <w:t>48.20%,</w:t>
      </w:r>
      <w:r>
        <w:rPr>
          <w:rFonts w:hint="eastAsia" w:ascii="仿宋" w:hAnsi="仿宋" w:eastAsia="仿宋" w:cs="仿宋"/>
          <w:b w:val="0"/>
          <w:bCs w:val="0"/>
          <w:sz w:val="30"/>
          <w:szCs w:val="30"/>
        </w:rPr>
        <w:t>较预算减少</w:t>
      </w:r>
      <w:r>
        <w:rPr>
          <w:rFonts w:hint="eastAsia" w:ascii="仿宋" w:hAnsi="仿宋" w:eastAsia="仿宋" w:cs="仿宋"/>
          <w:b w:val="0"/>
          <w:bCs w:val="0"/>
          <w:sz w:val="30"/>
          <w:szCs w:val="30"/>
          <w:lang w:val="en-US" w:eastAsia="zh-CN"/>
        </w:rPr>
        <w:t>84.95</w:t>
      </w:r>
      <w:r>
        <w:rPr>
          <w:rFonts w:hint="eastAsia" w:ascii="仿宋" w:hAnsi="仿宋" w:eastAsia="仿宋" w:cs="仿宋"/>
          <w:b w:val="0"/>
          <w:bCs w:val="0"/>
          <w:sz w:val="30"/>
          <w:szCs w:val="30"/>
        </w:rPr>
        <w:t>万元，降低</w:t>
      </w:r>
      <w:r>
        <w:rPr>
          <w:rFonts w:hint="eastAsia" w:ascii="仿宋" w:hAnsi="仿宋" w:eastAsia="仿宋" w:cs="仿宋"/>
          <w:b w:val="0"/>
          <w:bCs w:val="0"/>
          <w:sz w:val="30"/>
          <w:szCs w:val="30"/>
          <w:lang w:val="en-US" w:eastAsia="zh-CN"/>
        </w:rPr>
        <w:t>51.80</w:t>
      </w:r>
      <w:r>
        <w:rPr>
          <w:rFonts w:hint="eastAsia" w:ascii="仿宋" w:hAnsi="仿宋" w:eastAsia="仿宋" w:cs="仿宋"/>
          <w:b w:val="0"/>
          <w:bCs w:val="0"/>
          <w:sz w:val="30"/>
          <w:szCs w:val="30"/>
        </w:rPr>
        <w:t>%，</w:t>
      </w:r>
      <w:r>
        <w:rPr>
          <w:rFonts w:hint="eastAsia" w:ascii="仿宋" w:hAnsi="仿宋" w:eastAsia="仿宋" w:cs="仿宋"/>
          <w:sz w:val="30"/>
          <w:szCs w:val="30"/>
        </w:rPr>
        <w:t>主要是</w:t>
      </w:r>
      <w:r>
        <w:rPr>
          <w:rFonts w:hint="eastAsia" w:ascii="仿宋" w:hAnsi="仿宋" w:eastAsia="仿宋" w:cs="仿宋"/>
          <w:sz w:val="30"/>
          <w:szCs w:val="30"/>
          <w:lang w:eastAsia="zh-CN"/>
        </w:rPr>
        <w:t>公车运维费及公务接待费降低</w:t>
      </w:r>
      <w:r>
        <w:rPr>
          <w:rFonts w:hint="eastAsia" w:ascii="仿宋" w:hAnsi="仿宋" w:eastAsia="仿宋" w:cs="仿宋"/>
          <w:sz w:val="30"/>
          <w:szCs w:val="30"/>
        </w:rPr>
        <w:t>；较</w:t>
      </w:r>
      <w:r>
        <w:rPr>
          <w:rFonts w:hint="eastAsia" w:ascii="仿宋" w:hAnsi="仿宋" w:eastAsia="仿宋" w:cs="仿宋"/>
          <w:sz w:val="30"/>
          <w:szCs w:val="30"/>
          <w:lang w:val="en-US" w:eastAsia="zh-CN"/>
        </w:rPr>
        <w:t>2018</w:t>
      </w:r>
      <w:r>
        <w:rPr>
          <w:rFonts w:hint="eastAsia" w:ascii="仿宋" w:hAnsi="仿宋" w:eastAsia="仿宋" w:cs="仿宋"/>
          <w:sz w:val="30"/>
          <w:szCs w:val="30"/>
          <w:lang w:eastAsia="zh-CN"/>
        </w:rPr>
        <w:t>年</w:t>
      </w:r>
      <w:r>
        <w:rPr>
          <w:rFonts w:hint="eastAsia" w:ascii="仿宋" w:hAnsi="仿宋" w:eastAsia="仿宋" w:cs="仿宋"/>
          <w:sz w:val="30"/>
          <w:szCs w:val="30"/>
        </w:rPr>
        <w:t>度增加</w:t>
      </w:r>
      <w:r>
        <w:rPr>
          <w:rFonts w:hint="eastAsia" w:ascii="仿宋" w:hAnsi="仿宋" w:eastAsia="仿宋" w:cs="仿宋"/>
          <w:sz w:val="30"/>
          <w:szCs w:val="30"/>
          <w:lang w:val="en-US" w:eastAsia="zh-CN"/>
        </w:rPr>
        <w:t>16.32</w:t>
      </w:r>
      <w:r>
        <w:rPr>
          <w:rFonts w:hint="eastAsia" w:ascii="仿宋" w:hAnsi="仿宋" w:eastAsia="仿宋" w:cs="仿宋"/>
          <w:sz w:val="30"/>
          <w:szCs w:val="30"/>
        </w:rPr>
        <w:t>万元，增加</w:t>
      </w:r>
      <w:r>
        <w:rPr>
          <w:rFonts w:hint="eastAsia" w:ascii="仿宋" w:hAnsi="仿宋" w:eastAsia="仿宋" w:cs="仿宋"/>
          <w:sz w:val="30"/>
          <w:szCs w:val="30"/>
          <w:lang w:val="en-US" w:eastAsia="zh-CN"/>
        </w:rPr>
        <w:t>29.73</w:t>
      </w:r>
      <w:r>
        <w:rPr>
          <w:rFonts w:hint="eastAsia" w:ascii="仿宋" w:hAnsi="仿宋" w:eastAsia="仿宋" w:cs="仿宋"/>
          <w:sz w:val="30"/>
          <w:szCs w:val="30"/>
        </w:rPr>
        <w:t>%，主要是</w:t>
      </w:r>
      <w:r>
        <w:rPr>
          <w:rFonts w:hint="eastAsia" w:ascii="仿宋" w:hAnsi="仿宋" w:eastAsia="仿宋" w:cs="仿宋"/>
          <w:sz w:val="30"/>
          <w:szCs w:val="30"/>
          <w:lang w:eastAsia="zh-CN"/>
        </w:rPr>
        <w:t>公车运维费增加</w:t>
      </w:r>
      <w:r>
        <w:rPr>
          <w:rFonts w:hint="eastAsia" w:ascii="仿宋" w:hAnsi="仿宋" w:eastAsia="仿宋" w:cs="仿宋"/>
          <w:sz w:val="30"/>
          <w:szCs w:val="30"/>
        </w:rPr>
        <w:t>。具体情况如下：</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因公出国（境）费支出</w:t>
      </w:r>
      <w:r>
        <w:rPr>
          <w:rFonts w:hint="eastAsia" w:ascii="仿宋" w:hAnsi="仿宋" w:eastAsia="仿宋" w:cs="仿宋"/>
          <w:b/>
          <w:bCs/>
          <w:sz w:val="30"/>
          <w:szCs w:val="30"/>
          <w:lang w:val="en-US" w:eastAsia="zh-CN"/>
        </w:rPr>
        <w:t>0</w:t>
      </w:r>
      <w:r>
        <w:rPr>
          <w:rFonts w:hint="eastAsia" w:ascii="仿宋" w:hAnsi="仿宋" w:eastAsia="仿宋" w:cs="仿宋"/>
          <w:b/>
          <w:bCs/>
          <w:sz w:val="30"/>
          <w:szCs w:val="30"/>
        </w:rPr>
        <w:t>万元。</w:t>
      </w:r>
    </w:p>
    <w:p>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（二）公务用车购置及运行维护费支出</w:t>
      </w:r>
      <w:r>
        <w:rPr>
          <w:rFonts w:hint="eastAsia" w:ascii="仿宋" w:hAnsi="仿宋" w:eastAsia="仿宋" w:cs="仿宋"/>
          <w:b/>
          <w:bCs/>
          <w:sz w:val="30"/>
          <w:szCs w:val="30"/>
          <w:lang w:val="en-US" w:eastAsia="zh-CN"/>
        </w:rPr>
        <w:t>71.2</w:t>
      </w:r>
      <w:r>
        <w:rPr>
          <w:rFonts w:hint="eastAsia" w:ascii="仿宋" w:hAnsi="仿宋" w:eastAsia="仿宋" w:cs="仿宋"/>
          <w:b/>
          <w:bCs/>
          <w:sz w:val="30"/>
          <w:szCs w:val="30"/>
        </w:rPr>
        <w:t>万元。</w:t>
      </w: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度公务用车购置及运行维护费较预算减少</w:t>
      </w:r>
      <w:r>
        <w:rPr>
          <w:rFonts w:hint="eastAsia" w:ascii="仿宋" w:hAnsi="仿宋" w:eastAsia="仿宋" w:cs="仿宋"/>
          <w:sz w:val="30"/>
          <w:szCs w:val="30"/>
          <w:lang w:val="en-US" w:eastAsia="zh-CN"/>
        </w:rPr>
        <w:t>32.30</w:t>
      </w:r>
      <w:r>
        <w:rPr>
          <w:rFonts w:hint="eastAsia" w:ascii="仿宋" w:hAnsi="仿宋" w:eastAsia="仿宋" w:cs="仿宋"/>
          <w:sz w:val="30"/>
          <w:szCs w:val="30"/>
        </w:rPr>
        <w:t>万元，降低</w:t>
      </w:r>
      <w:r>
        <w:rPr>
          <w:rFonts w:hint="eastAsia" w:ascii="仿宋" w:hAnsi="仿宋" w:eastAsia="仿宋" w:cs="仿宋"/>
          <w:sz w:val="30"/>
          <w:szCs w:val="30"/>
          <w:lang w:val="en-US" w:eastAsia="zh-CN"/>
        </w:rPr>
        <w:t>31.20</w:t>
      </w:r>
      <w:r>
        <w:rPr>
          <w:rFonts w:hint="eastAsia" w:ascii="仿宋" w:hAnsi="仿宋" w:eastAsia="仿宋" w:cs="仿宋"/>
          <w:sz w:val="30"/>
          <w:szCs w:val="30"/>
        </w:rPr>
        <w:t>%,主要是公务用车购置</w:t>
      </w:r>
      <w:r>
        <w:rPr>
          <w:rFonts w:hint="eastAsia" w:ascii="仿宋" w:hAnsi="仿宋" w:eastAsia="仿宋" w:cs="仿宋"/>
          <w:sz w:val="30"/>
          <w:szCs w:val="30"/>
          <w:lang w:eastAsia="zh-CN"/>
        </w:rPr>
        <w:t>数量减少</w:t>
      </w:r>
      <w:r>
        <w:rPr>
          <w:rFonts w:hint="eastAsia" w:ascii="仿宋" w:hAnsi="仿宋" w:eastAsia="仿宋" w:cs="仿宋"/>
          <w:sz w:val="30"/>
          <w:szCs w:val="30"/>
        </w:rPr>
        <w:t>；较</w:t>
      </w:r>
      <w:r>
        <w:rPr>
          <w:rFonts w:hint="eastAsia" w:ascii="仿宋" w:hAnsi="仿宋" w:eastAsia="仿宋" w:cs="仿宋"/>
          <w:sz w:val="30"/>
          <w:szCs w:val="30"/>
          <w:lang w:val="en-US" w:eastAsia="zh-CN"/>
        </w:rPr>
        <w:t>上</w:t>
      </w:r>
      <w:r>
        <w:rPr>
          <w:rFonts w:hint="eastAsia" w:ascii="仿宋" w:hAnsi="仿宋" w:eastAsia="仿宋" w:cs="仿宋"/>
          <w:sz w:val="30"/>
          <w:szCs w:val="30"/>
          <w:lang w:eastAsia="zh-CN"/>
        </w:rPr>
        <w:t>年增加</w:t>
      </w:r>
      <w:r>
        <w:rPr>
          <w:rFonts w:hint="eastAsia" w:ascii="仿宋" w:hAnsi="仿宋" w:eastAsia="仿宋" w:cs="仿宋"/>
          <w:sz w:val="30"/>
          <w:szCs w:val="30"/>
          <w:lang w:val="en-US" w:eastAsia="zh-CN"/>
        </w:rPr>
        <w:t>21.13</w:t>
      </w:r>
      <w:r>
        <w:rPr>
          <w:rFonts w:hint="eastAsia" w:ascii="仿宋" w:hAnsi="仿宋" w:eastAsia="仿宋" w:cs="仿宋"/>
          <w:sz w:val="30"/>
          <w:szCs w:val="30"/>
        </w:rPr>
        <w:t>万元，</w:t>
      </w:r>
      <w:r>
        <w:rPr>
          <w:rFonts w:hint="eastAsia" w:ascii="仿宋" w:hAnsi="仿宋" w:eastAsia="仿宋" w:cs="仿宋"/>
          <w:sz w:val="30"/>
          <w:szCs w:val="30"/>
          <w:lang w:eastAsia="zh-CN"/>
        </w:rPr>
        <w:t>增加</w:t>
      </w:r>
      <w:r>
        <w:rPr>
          <w:rFonts w:hint="eastAsia" w:ascii="仿宋" w:hAnsi="仿宋" w:eastAsia="仿宋" w:cs="仿宋"/>
          <w:sz w:val="30"/>
          <w:szCs w:val="30"/>
          <w:lang w:val="en-US" w:eastAsia="zh-CN"/>
        </w:rPr>
        <w:t>42.20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b/>
          <w:bCs/>
          <w:sz w:val="30"/>
          <w:szCs w:val="30"/>
        </w:rPr>
        <w:t>其中：</w:t>
      </w:r>
    </w:p>
    <w:p>
      <w:pPr>
        <w:pageBreakBefore w:val="0"/>
        <w:widowControl w:val="0"/>
        <w:kinsoku/>
        <w:wordWrap/>
        <w:overflowPunct/>
        <w:topLinePunct w:val="0"/>
        <w:autoSpaceDE/>
        <w:autoSpaceDN/>
        <w:bidi w:val="0"/>
        <w:adjustRightInd w:val="0"/>
        <w:snapToGrid w:val="0"/>
        <w:spacing w:line="580" w:lineRule="exact"/>
        <w:ind w:right="0" w:rightChars="0" w:firstLine="602" w:firstLineChars="200"/>
        <w:textAlignment w:val="auto"/>
        <w:rPr>
          <w:rFonts w:hint="eastAsia" w:ascii="仿宋" w:hAnsi="仿宋" w:eastAsia="仿宋" w:cs="仿宋"/>
          <w:color w:val="000000"/>
          <w:sz w:val="30"/>
          <w:szCs w:val="30"/>
        </w:rPr>
      </w:pPr>
      <w:r>
        <w:rPr>
          <w:rFonts w:hint="eastAsia" w:ascii="仿宋" w:hAnsi="仿宋" w:eastAsia="仿宋" w:cs="仿宋"/>
          <w:b/>
          <w:sz w:val="30"/>
          <w:szCs w:val="30"/>
        </w:rPr>
        <w:t>公务用车购置费：</w:t>
      </w: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度公务用车购置量</w:t>
      </w:r>
      <w:r>
        <w:rPr>
          <w:rFonts w:hint="eastAsia" w:ascii="仿宋" w:hAnsi="仿宋" w:eastAsia="仿宋" w:cs="仿宋"/>
          <w:sz w:val="30"/>
          <w:szCs w:val="30"/>
          <w:lang w:val="en-US" w:eastAsia="zh-CN"/>
        </w:rPr>
        <w:t>1</w:t>
      </w:r>
      <w:r>
        <w:rPr>
          <w:rFonts w:hint="eastAsia" w:ascii="仿宋" w:hAnsi="仿宋" w:eastAsia="仿宋" w:cs="仿宋"/>
          <w:sz w:val="30"/>
          <w:szCs w:val="30"/>
        </w:rPr>
        <w:t>辆。</w:t>
      </w:r>
    </w:p>
    <w:p>
      <w:pPr>
        <w:pageBreakBefore w:val="0"/>
        <w:widowControl w:val="0"/>
        <w:kinsoku/>
        <w:wordWrap/>
        <w:overflowPunct/>
        <w:topLinePunct w:val="0"/>
        <w:autoSpaceDE/>
        <w:autoSpaceDN/>
        <w:bidi w:val="0"/>
        <w:adjustRightInd w:val="0"/>
        <w:snapToGrid w:val="0"/>
        <w:spacing w:line="580" w:lineRule="exact"/>
        <w:ind w:right="0" w:rightChars="0"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rPr>
        <w:t>公务用车运行维护费：</w:t>
      </w: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度单位公务用车保有量</w:t>
      </w:r>
      <w:r>
        <w:rPr>
          <w:rFonts w:hint="eastAsia" w:ascii="仿宋" w:hAnsi="仿宋" w:eastAsia="仿宋" w:cs="仿宋"/>
          <w:sz w:val="30"/>
          <w:szCs w:val="30"/>
          <w:lang w:val="en-US" w:eastAsia="zh-CN"/>
        </w:rPr>
        <w:t>7</w:t>
      </w:r>
      <w:r>
        <w:rPr>
          <w:rFonts w:hint="eastAsia" w:ascii="仿宋" w:hAnsi="仿宋" w:eastAsia="仿宋" w:cs="仿宋"/>
          <w:sz w:val="30"/>
          <w:szCs w:val="30"/>
        </w:rPr>
        <w:t>辆。公车运行维护费支出较预算减少</w:t>
      </w:r>
      <w:r>
        <w:rPr>
          <w:rFonts w:hint="eastAsia" w:ascii="仿宋" w:hAnsi="仿宋" w:eastAsia="仿宋" w:cs="仿宋"/>
          <w:sz w:val="30"/>
          <w:szCs w:val="30"/>
          <w:lang w:val="en-US" w:eastAsia="zh-CN"/>
        </w:rPr>
        <w:t>32.30</w:t>
      </w:r>
      <w:r>
        <w:rPr>
          <w:rFonts w:hint="eastAsia" w:ascii="仿宋" w:hAnsi="仿宋" w:eastAsia="仿宋" w:cs="仿宋"/>
          <w:sz w:val="30"/>
          <w:szCs w:val="30"/>
        </w:rPr>
        <w:t>万元，降低</w:t>
      </w:r>
      <w:r>
        <w:rPr>
          <w:rFonts w:hint="eastAsia" w:ascii="仿宋" w:hAnsi="仿宋" w:eastAsia="仿宋" w:cs="仿宋"/>
          <w:sz w:val="30"/>
          <w:szCs w:val="30"/>
          <w:lang w:val="en-US" w:eastAsia="zh-CN"/>
        </w:rPr>
        <w:t>31.20</w:t>
      </w:r>
      <w:r>
        <w:rPr>
          <w:rFonts w:hint="eastAsia" w:ascii="仿宋" w:hAnsi="仿宋" w:eastAsia="仿宋" w:cs="仿宋"/>
          <w:sz w:val="30"/>
          <w:szCs w:val="30"/>
        </w:rPr>
        <w:t>%,主要是公务用车购置</w:t>
      </w:r>
      <w:r>
        <w:rPr>
          <w:rFonts w:hint="eastAsia" w:ascii="仿宋" w:hAnsi="仿宋" w:eastAsia="仿宋" w:cs="仿宋"/>
          <w:sz w:val="30"/>
          <w:szCs w:val="30"/>
          <w:lang w:eastAsia="zh-CN"/>
        </w:rPr>
        <w:t>数量较预算减少</w:t>
      </w:r>
      <w:r>
        <w:rPr>
          <w:rFonts w:hint="eastAsia" w:ascii="仿宋" w:hAnsi="仿宋" w:eastAsia="仿宋" w:cs="仿宋"/>
          <w:sz w:val="30"/>
          <w:szCs w:val="30"/>
        </w:rPr>
        <w:t>；较</w:t>
      </w:r>
      <w:r>
        <w:rPr>
          <w:rFonts w:hint="eastAsia" w:ascii="仿宋" w:hAnsi="仿宋" w:eastAsia="仿宋" w:cs="仿宋"/>
          <w:sz w:val="30"/>
          <w:szCs w:val="30"/>
          <w:lang w:val="en-US" w:eastAsia="zh-CN"/>
        </w:rPr>
        <w:t>上</w:t>
      </w:r>
      <w:r>
        <w:rPr>
          <w:rFonts w:hint="eastAsia" w:ascii="仿宋" w:hAnsi="仿宋" w:eastAsia="仿宋" w:cs="仿宋"/>
          <w:sz w:val="30"/>
          <w:szCs w:val="30"/>
          <w:lang w:eastAsia="zh-CN"/>
        </w:rPr>
        <w:t>年</w:t>
      </w:r>
      <w:r>
        <w:rPr>
          <w:rFonts w:hint="eastAsia" w:ascii="仿宋" w:hAnsi="仿宋" w:eastAsia="仿宋" w:cs="仿宋"/>
          <w:sz w:val="30"/>
          <w:szCs w:val="30"/>
        </w:rPr>
        <w:t>增加</w:t>
      </w:r>
      <w:r>
        <w:rPr>
          <w:rFonts w:hint="eastAsia" w:ascii="仿宋" w:hAnsi="仿宋" w:eastAsia="仿宋" w:cs="仿宋"/>
          <w:sz w:val="30"/>
          <w:szCs w:val="30"/>
          <w:lang w:val="en-US" w:eastAsia="zh-CN"/>
        </w:rPr>
        <w:t>5.13</w:t>
      </w:r>
      <w:r>
        <w:rPr>
          <w:rFonts w:hint="eastAsia" w:ascii="仿宋" w:hAnsi="仿宋" w:eastAsia="仿宋" w:cs="仿宋"/>
          <w:sz w:val="30"/>
          <w:szCs w:val="30"/>
        </w:rPr>
        <w:t>万元，增长</w:t>
      </w:r>
      <w:r>
        <w:rPr>
          <w:rFonts w:hint="eastAsia" w:ascii="仿宋" w:hAnsi="仿宋" w:eastAsia="仿宋" w:cs="仿宋"/>
          <w:sz w:val="30"/>
          <w:szCs w:val="30"/>
          <w:lang w:val="en-US" w:eastAsia="zh-CN"/>
        </w:rPr>
        <w:t>10.24</w:t>
      </w:r>
      <w:r>
        <w:rPr>
          <w:rFonts w:hint="eastAsia" w:ascii="仿宋" w:hAnsi="仿宋" w:eastAsia="仿宋" w:cs="仿宋"/>
          <w:sz w:val="30"/>
          <w:szCs w:val="30"/>
        </w:rPr>
        <w:t>%</w:t>
      </w:r>
      <w:r>
        <w:rPr>
          <w:rFonts w:hint="eastAsia" w:ascii="仿宋" w:hAnsi="仿宋" w:eastAsia="仿宋" w:cs="仿宋"/>
          <w:sz w:val="30"/>
          <w:szCs w:val="30"/>
          <w:lang w:eastAsia="zh-CN"/>
        </w:rPr>
        <w:t>，主要是公车数量增加</w:t>
      </w:r>
      <w:r>
        <w:rPr>
          <w:rFonts w:hint="eastAsia" w:ascii="仿宋" w:hAnsi="仿宋" w:eastAsia="仿宋" w:cs="仿宋"/>
          <w:sz w:val="30"/>
          <w:szCs w:val="30"/>
        </w:rPr>
        <w:t>。</w:t>
      </w:r>
    </w:p>
    <w:p>
      <w:pPr>
        <w:pageBreakBefore w:val="0"/>
        <w:widowControl w:val="0"/>
        <w:kinsoku/>
        <w:wordWrap/>
        <w:overflowPunct/>
        <w:topLinePunct w:val="0"/>
        <w:autoSpaceDE/>
        <w:autoSpaceDN/>
        <w:bidi w:val="0"/>
        <w:adjustRightInd w:val="0"/>
        <w:snapToGrid w:val="0"/>
        <w:spacing w:line="580" w:lineRule="exact"/>
        <w:ind w:right="0" w:rightChars="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（三）公务接待费支出</w:t>
      </w:r>
      <w:r>
        <w:rPr>
          <w:rFonts w:hint="eastAsia" w:ascii="仿宋" w:hAnsi="仿宋" w:eastAsia="仿宋" w:cs="仿宋"/>
          <w:b/>
          <w:bCs/>
          <w:sz w:val="30"/>
          <w:szCs w:val="30"/>
          <w:lang w:val="en-US" w:eastAsia="zh-CN"/>
        </w:rPr>
        <w:t>7.86</w:t>
      </w:r>
      <w:r>
        <w:rPr>
          <w:rFonts w:hint="eastAsia" w:ascii="仿宋" w:hAnsi="仿宋" w:eastAsia="仿宋" w:cs="仿宋"/>
          <w:b/>
          <w:bCs/>
          <w:sz w:val="30"/>
          <w:szCs w:val="30"/>
        </w:rPr>
        <w:t>万元。</w:t>
      </w:r>
      <w:r>
        <w:rPr>
          <w:rFonts w:hint="eastAsia" w:ascii="仿宋" w:hAnsi="仿宋" w:eastAsia="仿宋" w:cs="仿宋"/>
          <w:sz w:val="30"/>
          <w:szCs w:val="30"/>
        </w:rPr>
        <w:t>公务接待费支出较预算减少</w:t>
      </w:r>
      <w:r>
        <w:rPr>
          <w:rFonts w:hint="eastAsia" w:ascii="仿宋" w:hAnsi="仿宋" w:eastAsia="仿宋" w:cs="仿宋"/>
          <w:sz w:val="30"/>
          <w:szCs w:val="30"/>
          <w:lang w:val="en-US" w:eastAsia="zh-CN"/>
        </w:rPr>
        <w:t>52.64</w:t>
      </w:r>
      <w:r>
        <w:rPr>
          <w:rFonts w:hint="eastAsia" w:ascii="仿宋" w:hAnsi="仿宋" w:eastAsia="仿宋" w:cs="仿宋"/>
          <w:sz w:val="30"/>
          <w:szCs w:val="30"/>
        </w:rPr>
        <w:t>万元，降低</w:t>
      </w:r>
      <w:r>
        <w:rPr>
          <w:rFonts w:hint="eastAsia" w:ascii="仿宋" w:hAnsi="仿宋" w:eastAsia="仿宋" w:cs="仿宋"/>
          <w:sz w:val="30"/>
          <w:szCs w:val="30"/>
          <w:lang w:val="en-US" w:eastAsia="zh-CN"/>
        </w:rPr>
        <w:t>87.00</w:t>
      </w:r>
      <w:r>
        <w:rPr>
          <w:rFonts w:hint="eastAsia" w:ascii="仿宋" w:hAnsi="仿宋" w:eastAsia="仿宋" w:cs="仿宋"/>
          <w:sz w:val="30"/>
          <w:szCs w:val="30"/>
        </w:rPr>
        <w:t>%,；较</w:t>
      </w:r>
      <w:r>
        <w:rPr>
          <w:rFonts w:hint="eastAsia" w:ascii="仿宋" w:hAnsi="仿宋" w:eastAsia="仿宋" w:cs="仿宋"/>
          <w:sz w:val="30"/>
          <w:szCs w:val="30"/>
          <w:lang w:val="en-US" w:eastAsia="zh-CN"/>
        </w:rPr>
        <w:t>上</w:t>
      </w:r>
      <w:r>
        <w:rPr>
          <w:rFonts w:hint="eastAsia" w:ascii="仿宋" w:hAnsi="仿宋" w:eastAsia="仿宋" w:cs="仿宋"/>
          <w:sz w:val="30"/>
          <w:szCs w:val="30"/>
          <w:lang w:eastAsia="zh-CN"/>
        </w:rPr>
        <w:t>年</w:t>
      </w:r>
      <w:r>
        <w:rPr>
          <w:rFonts w:hint="eastAsia" w:ascii="仿宋" w:hAnsi="仿宋" w:eastAsia="仿宋" w:cs="仿宋"/>
          <w:sz w:val="30"/>
          <w:szCs w:val="30"/>
        </w:rPr>
        <w:t>度增加</w:t>
      </w:r>
      <w:r>
        <w:rPr>
          <w:rFonts w:hint="eastAsia" w:ascii="仿宋" w:hAnsi="仿宋" w:eastAsia="仿宋" w:cs="仿宋"/>
          <w:sz w:val="30"/>
          <w:szCs w:val="30"/>
          <w:lang w:val="en-US" w:eastAsia="zh-CN"/>
        </w:rPr>
        <w:t>3.06</w:t>
      </w:r>
      <w:r>
        <w:rPr>
          <w:rFonts w:hint="eastAsia" w:ascii="仿宋" w:hAnsi="仿宋" w:eastAsia="仿宋" w:cs="仿宋"/>
          <w:sz w:val="30"/>
          <w:szCs w:val="30"/>
        </w:rPr>
        <w:t>万元，增加</w:t>
      </w:r>
      <w:r>
        <w:rPr>
          <w:rFonts w:hint="eastAsia" w:ascii="仿宋" w:hAnsi="仿宋" w:eastAsia="仿宋" w:cs="仿宋"/>
          <w:sz w:val="30"/>
          <w:szCs w:val="30"/>
          <w:lang w:val="en-US" w:eastAsia="zh-CN"/>
        </w:rPr>
        <w:t>63.75</w:t>
      </w:r>
      <w:r>
        <w:rPr>
          <w:rFonts w:hint="eastAsia" w:ascii="仿宋" w:hAnsi="仿宋" w:eastAsia="仿宋" w:cs="仿宋"/>
          <w:sz w:val="30"/>
          <w:szCs w:val="30"/>
        </w:rPr>
        <w:t>%。</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sz w:val="30"/>
          <w:szCs w:val="30"/>
          <w:highlight w:val="yellow"/>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00" w:firstLineChars="200"/>
        <w:jc w:val="both"/>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02" w:firstLineChars="2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00" w:firstLineChars="200"/>
        <w:jc w:val="both"/>
        <w:textAlignment w:val="auto"/>
        <w:outlineLvl w:val="9"/>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根据预算绩效管理要求，本部门组织对2019年度一般公共预算项目支出全面开展绩效自评，其中，项目14个，共涉及资金840.04万元，占一般公共预算项目支出总额的47.24%。组织对2019年度预算项目支出开展绩效自评从评价情况来看，项目运行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01" w:firstLineChars="100"/>
        <w:jc w:val="both"/>
        <w:textAlignment w:val="auto"/>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2. 部门决算中项目绩效自评结果。</w:t>
      </w:r>
    </w:p>
    <w:p>
      <w:pPr>
        <w:pStyle w:val="6"/>
        <w:shd w:val="clear" w:color="auto" w:fill="FFFFFF"/>
        <w:spacing w:before="0" w:beforeAutospacing="0" w:after="0" w:afterAutospacing="0" w:line="540" w:lineRule="atLeast"/>
        <w:ind w:firstLine="640"/>
        <w:jc w:val="both"/>
        <w:rPr>
          <w:rFonts w:hint="eastAsia" w:ascii="仿宋" w:hAnsi="仿宋" w:eastAsia="仿宋" w:cs="仿宋"/>
          <w:color w:val="000000"/>
          <w:sz w:val="30"/>
          <w:szCs w:val="30"/>
        </w:rPr>
      </w:pPr>
      <w:r>
        <w:rPr>
          <w:rFonts w:hint="eastAsia" w:ascii="仿宋" w:hAnsi="仿宋" w:eastAsia="仿宋" w:cs="仿宋"/>
          <w:color w:val="000000"/>
          <w:sz w:val="30"/>
          <w:szCs w:val="30"/>
        </w:rPr>
        <w:t>我单位14个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95%。</w:t>
      </w:r>
    </w:p>
    <w:p>
      <w:pPr>
        <w:pStyle w:val="6"/>
        <w:shd w:val="clear" w:color="auto" w:fill="FFFFFF"/>
        <w:spacing w:before="0" w:beforeAutospacing="0" w:after="0" w:afterAutospacing="0" w:line="540" w:lineRule="atLeast"/>
        <w:ind w:firstLine="640"/>
        <w:jc w:val="both"/>
        <w:rPr>
          <w:rFonts w:hint="eastAsia" w:ascii="仿宋" w:hAnsi="仿宋" w:eastAsia="仿宋" w:cs="仿宋"/>
          <w:color w:val="000000"/>
          <w:sz w:val="30"/>
          <w:szCs w:val="30"/>
        </w:rPr>
      </w:pPr>
      <w:r>
        <w:rPr>
          <w:rFonts w:hint="eastAsia" w:ascii="仿宋" w:hAnsi="仿宋" w:eastAsia="仿宋" w:cs="仿宋"/>
          <w:color w:val="000000"/>
          <w:sz w:val="30"/>
          <w:szCs w:val="30"/>
        </w:rPr>
        <w:t>从项目立项、资金落实、业务管理到财务管理、项目产出、项目效益</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项二级指标得分都很高，总分达到9</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分。</w:t>
      </w:r>
    </w:p>
    <w:p>
      <w:pPr>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实现年度发展规划目标的保障措施</w:t>
      </w:r>
      <w:r>
        <w:rPr>
          <w:rFonts w:hint="eastAsia" w:ascii="仿宋" w:hAnsi="仿宋" w:eastAsia="仿宋" w:cs="仿宋"/>
          <w:sz w:val="30"/>
          <w:szCs w:val="30"/>
          <w:lang w:val="en-US" w:eastAsia="zh-CN"/>
        </w:rPr>
        <w:t>:</w:t>
      </w:r>
    </w:p>
    <w:p>
      <w:pPr>
        <w:spacing w:line="500" w:lineRule="exact"/>
        <w:ind w:firstLine="560"/>
        <w:rPr>
          <w:rFonts w:hint="eastAsia" w:ascii="仿宋" w:hAnsi="仿宋" w:eastAsia="仿宋" w:cs="仿宋"/>
          <w:sz w:val="30"/>
          <w:szCs w:val="30"/>
        </w:rPr>
      </w:pPr>
      <w:r>
        <w:rPr>
          <w:rFonts w:hint="eastAsia" w:ascii="仿宋" w:hAnsi="仿宋" w:eastAsia="仿宋" w:cs="仿宋"/>
          <w:sz w:val="30"/>
          <w:szCs w:val="30"/>
        </w:rPr>
        <w:t>加强机关事务性管理，提高机关自身工作能力，为纪律审查、纪检监察业务、党风廉政建设提高服务和保障。提高履职能力，建设全面过硬的纪检监察队伍，确保纪检监察机关工作有效运转。</w:t>
      </w:r>
    </w:p>
    <w:p>
      <w:pPr>
        <w:spacing w:line="500" w:lineRule="exact"/>
        <w:ind w:firstLine="560"/>
        <w:rPr>
          <w:rFonts w:hint="eastAsia" w:ascii="仿宋" w:hAnsi="仿宋" w:eastAsia="仿宋" w:cs="仿宋"/>
          <w:sz w:val="30"/>
          <w:szCs w:val="30"/>
        </w:rPr>
      </w:pPr>
      <w:r>
        <w:rPr>
          <w:rFonts w:hint="eastAsia" w:ascii="仿宋" w:hAnsi="仿宋" w:eastAsia="仿宋" w:cs="仿宋"/>
          <w:sz w:val="30"/>
          <w:szCs w:val="30"/>
        </w:rPr>
        <w:t>着力健全完善监督体系，积极发挥监督职能，实现监督检查常态化、制度化。扎实推进监察体制改革试点工作，坚决担当起改革任务，做好检察机关的职能划转工作，深入研究解决改革涉及的机构编制、干部配备、经费保障等工作。</w:t>
      </w:r>
    </w:p>
    <w:p>
      <w:pPr>
        <w:keepNext/>
        <w:keepLines/>
        <w:pageBreakBefore w:val="0"/>
        <w:widowControl w:val="0"/>
        <w:numPr>
          <w:ilvl w:val="0"/>
          <w:numId w:val="0"/>
        </w:numPr>
        <w:kinsoku/>
        <w:wordWrap/>
        <w:overflowPunct/>
        <w:topLinePunct w:val="0"/>
        <w:autoSpaceDE/>
        <w:autoSpaceDN/>
        <w:bidi w:val="0"/>
        <w:snapToGrid w:val="0"/>
        <w:spacing w:line="580" w:lineRule="exact"/>
        <w:ind w:leftChars="200" w:right="0" w:rightChars="0"/>
        <w:jc w:val="both"/>
        <w:textAlignment w:val="auto"/>
        <w:outlineLvl w:val="1"/>
        <w:rPr>
          <w:rFonts w:hint="eastAsia" w:ascii="仿宋" w:hAnsi="仿宋" w:eastAsia="仿宋" w:cs="仿宋"/>
          <w:b/>
          <w:bCs/>
          <w:kern w:val="2"/>
          <w:sz w:val="30"/>
          <w:szCs w:val="30"/>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00" w:firstLineChars="200"/>
        <w:jc w:val="both"/>
        <w:textAlignment w:val="auto"/>
        <w:outlineLvl w:val="1"/>
        <w:rPr>
          <w:rFonts w:hint="eastAsia" w:ascii="仿宋" w:hAnsi="仿宋" w:eastAsia="仿宋" w:cs="仿宋"/>
          <w:b w:val="0"/>
          <w:bCs w:val="0"/>
          <w:kern w:val="2"/>
          <w:sz w:val="30"/>
          <w:szCs w:val="30"/>
          <w:lang w:val="en-US" w:eastAsia="zh-CN" w:bidi="ar-SA"/>
        </w:rPr>
      </w:pPr>
      <w:r>
        <w:rPr>
          <w:rFonts w:hint="eastAsia" w:ascii="仿宋" w:hAnsi="仿宋" w:eastAsia="仿宋" w:cs="仿宋"/>
          <w:b w:val="0"/>
          <w:bCs w:val="0"/>
          <w:kern w:val="2"/>
          <w:sz w:val="30"/>
          <w:szCs w:val="30"/>
          <w:lang w:val="en-US" w:eastAsia="zh-CN" w:bidi="ar-SA"/>
        </w:rPr>
        <w:t>七、其他重要事项的说明</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2018年本部门政府采购支出总额</w:t>
      </w:r>
      <w:r>
        <w:rPr>
          <w:rFonts w:hint="eastAsia" w:ascii="仿宋" w:hAnsi="仿宋" w:eastAsia="仿宋" w:cs="仿宋"/>
          <w:sz w:val="30"/>
          <w:szCs w:val="30"/>
          <w:lang w:val="en-US" w:eastAsia="zh-CN"/>
        </w:rPr>
        <w:t>0</w:t>
      </w:r>
      <w:r>
        <w:rPr>
          <w:rFonts w:hint="eastAsia" w:ascii="仿宋" w:hAnsi="仿宋" w:eastAsia="仿宋" w:cs="仿宋"/>
          <w:sz w:val="30"/>
          <w:szCs w:val="30"/>
        </w:rPr>
        <w:t>万元，其中：政府采购货物支出</w:t>
      </w:r>
      <w:r>
        <w:rPr>
          <w:rFonts w:hint="eastAsia" w:ascii="仿宋" w:hAnsi="仿宋" w:eastAsia="仿宋" w:cs="仿宋"/>
          <w:sz w:val="30"/>
          <w:szCs w:val="30"/>
          <w:lang w:val="en-US" w:eastAsia="zh-CN"/>
        </w:rPr>
        <w:t>0</w:t>
      </w:r>
      <w:r>
        <w:rPr>
          <w:rFonts w:hint="eastAsia" w:ascii="仿宋" w:hAnsi="仿宋" w:eastAsia="仿宋" w:cs="仿宋"/>
          <w:sz w:val="30"/>
          <w:szCs w:val="30"/>
        </w:rPr>
        <w:t>万元、政府采购工程支出</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万元、政府采购服务支出 </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p>
    <w:p>
      <w:pPr>
        <w:ind w:firstLine="450" w:firstLineChars="15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.国有资产占用情况</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截至201</w:t>
      </w:r>
      <w:r>
        <w:rPr>
          <w:rFonts w:hint="eastAsia" w:ascii="仿宋" w:hAnsi="仿宋" w:eastAsia="仿宋" w:cs="仿宋"/>
          <w:sz w:val="30"/>
          <w:szCs w:val="30"/>
          <w:lang w:val="en-US" w:eastAsia="zh-CN"/>
        </w:rPr>
        <w:t>9</w:t>
      </w:r>
      <w:r>
        <w:rPr>
          <w:rFonts w:hint="eastAsia" w:ascii="仿宋" w:hAnsi="仿宋" w:eastAsia="仿宋" w:cs="仿宋"/>
          <w:sz w:val="30"/>
          <w:szCs w:val="30"/>
        </w:rPr>
        <w:t>年12月31日，本部门共有车辆</w:t>
      </w:r>
      <w:r>
        <w:rPr>
          <w:rFonts w:hint="eastAsia" w:ascii="仿宋" w:hAnsi="仿宋" w:eastAsia="仿宋" w:cs="仿宋"/>
          <w:sz w:val="30"/>
          <w:szCs w:val="30"/>
          <w:lang w:val="en-US" w:eastAsia="zh-CN"/>
        </w:rPr>
        <w:t>7</w:t>
      </w:r>
      <w:r>
        <w:rPr>
          <w:rFonts w:hint="eastAsia" w:ascii="仿宋" w:hAnsi="仿宋" w:eastAsia="仿宋" w:cs="仿宋"/>
          <w:sz w:val="30"/>
          <w:szCs w:val="30"/>
        </w:rPr>
        <w:t>辆，其中，省级领导干部用车0辆、一般公务用车</w:t>
      </w:r>
      <w:r>
        <w:rPr>
          <w:rFonts w:hint="eastAsia" w:ascii="仿宋" w:hAnsi="仿宋" w:eastAsia="仿宋" w:cs="仿宋"/>
          <w:sz w:val="30"/>
          <w:szCs w:val="30"/>
          <w:lang w:val="en-US" w:eastAsia="zh-CN"/>
        </w:rPr>
        <w:t>1</w:t>
      </w:r>
      <w:r>
        <w:rPr>
          <w:rFonts w:hint="eastAsia" w:ascii="仿宋" w:hAnsi="仿宋" w:eastAsia="仿宋" w:cs="仿宋"/>
          <w:sz w:val="30"/>
          <w:szCs w:val="30"/>
        </w:rPr>
        <w:t>辆、一般执法执勤用车</w:t>
      </w:r>
      <w:r>
        <w:rPr>
          <w:rFonts w:hint="eastAsia" w:ascii="仿宋" w:hAnsi="仿宋" w:eastAsia="仿宋" w:cs="仿宋"/>
          <w:sz w:val="30"/>
          <w:szCs w:val="30"/>
          <w:lang w:val="en-US" w:eastAsia="zh-CN"/>
        </w:rPr>
        <w:t>6</w:t>
      </w:r>
      <w:r>
        <w:rPr>
          <w:rFonts w:hint="eastAsia" w:ascii="仿宋" w:hAnsi="仿宋" w:eastAsia="仿宋" w:cs="仿宋"/>
          <w:sz w:val="30"/>
          <w:szCs w:val="30"/>
        </w:rPr>
        <w:t>辆、特种专业技术用车0辆、其他用车0辆；单位价值50万元以上大型设备0台（套），单位价值100万元以上大型设备0台（套）。其他固定资产</w:t>
      </w:r>
      <w:r>
        <w:rPr>
          <w:rFonts w:hint="eastAsia" w:ascii="仿宋" w:hAnsi="仿宋" w:eastAsia="仿宋" w:cs="仿宋"/>
          <w:sz w:val="30"/>
          <w:szCs w:val="30"/>
          <w:lang w:val="en-US" w:eastAsia="zh-CN"/>
        </w:rPr>
        <w:t>283.41</w:t>
      </w:r>
      <w:r>
        <w:rPr>
          <w:rFonts w:hint="eastAsia" w:ascii="仿宋" w:hAnsi="仿宋" w:eastAsia="仿宋" w:cs="仿宋"/>
          <w:sz w:val="30"/>
          <w:szCs w:val="30"/>
        </w:rPr>
        <w:t>万元。</w:t>
      </w:r>
    </w:p>
    <w:p>
      <w:pPr>
        <w:ind w:firstLine="450" w:firstLineChars="15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本部门</w:t>
      </w:r>
      <w:r>
        <w:rPr>
          <w:rFonts w:hint="eastAsia" w:ascii="仿宋" w:hAnsi="仿宋" w:eastAsia="仿宋" w:cs="仿宋"/>
          <w:sz w:val="30"/>
          <w:szCs w:val="30"/>
          <w:lang w:eastAsia="zh-CN"/>
        </w:rPr>
        <w:t>2019年</w:t>
      </w:r>
      <w:r>
        <w:rPr>
          <w:rFonts w:hint="eastAsia" w:ascii="仿宋" w:hAnsi="仿宋" w:eastAsia="仿宋" w:cs="仿宋"/>
          <w:sz w:val="30"/>
          <w:szCs w:val="30"/>
        </w:rPr>
        <w:t>度</w:t>
      </w:r>
      <w:r>
        <w:rPr>
          <w:rFonts w:hint="eastAsia" w:ascii="仿宋" w:hAnsi="仿宋" w:eastAsia="仿宋" w:cs="仿宋"/>
          <w:sz w:val="30"/>
          <w:szCs w:val="30"/>
          <w:lang w:eastAsia="zh-CN"/>
        </w:rPr>
        <w:t>政府基金预算、国有资本经营预算</w:t>
      </w:r>
      <w:r>
        <w:rPr>
          <w:rFonts w:hint="eastAsia" w:ascii="仿宋" w:hAnsi="仿宋" w:eastAsia="仿宋" w:cs="仿宋"/>
          <w:sz w:val="30"/>
          <w:szCs w:val="30"/>
        </w:rPr>
        <w:t>无收支及结转结余情况，故</w:t>
      </w:r>
      <w:r>
        <w:rPr>
          <w:rFonts w:hint="eastAsia" w:ascii="仿宋" w:hAnsi="仿宋" w:eastAsia="仿宋" w:cs="仿宋"/>
          <w:sz w:val="30"/>
          <w:szCs w:val="30"/>
          <w:lang w:eastAsia="zh-CN"/>
        </w:rPr>
        <w:t>政府基金预算财政拨款收入、国有资本经营预算财政拨款支出决算表</w:t>
      </w:r>
      <w:r>
        <w:rPr>
          <w:rFonts w:hint="eastAsia" w:ascii="仿宋" w:hAnsi="仿宋" w:eastAsia="仿宋" w:cs="仿宋"/>
          <w:sz w:val="30"/>
          <w:szCs w:val="30"/>
        </w:rPr>
        <w:t>以空表列示。</w:t>
      </w:r>
    </w:p>
    <w:p>
      <w:pPr>
        <w:pageBreakBefore w:val="0"/>
        <w:widowControl w:val="0"/>
        <w:kinsoku/>
        <w:wordWrap/>
        <w:overflowPunct/>
        <w:topLinePunct w:val="0"/>
        <w:autoSpaceDE/>
        <w:autoSpaceDN/>
        <w:bidi w:val="0"/>
        <w:adjustRightInd w:val="0"/>
        <w:snapToGrid w:val="0"/>
        <w:spacing w:line="580" w:lineRule="exact"/>
        <w:ind w:right="0" w:righ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602" w:firstLineChars="200"/>
        <w:jc w:val="left"/>
        <w:textAlignment w:val="auto"/>
        <w:rPr>
          <w:rFonts w:hint="eastAsia" w:ascii="仿宋" w:hAnsi="仿宋" w:eastAsia="仿宋" w:cs="仿宋"/>
          <w:b/>
          <w:bCs/>
          <w:kern w:val="0"/>
          <w:sz w:val="30"/>
          <w:szCs w:val="30"/>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eastAsia" w:ascii="仿宋" w:hAnsi="仿宋" w:eastAsia="仿宋" w:cs="仿宋"/>
          <w:sz w:val="30"/>
          <w:szCs w:val="30"/>
          <w:lang w:val="en-US" w:eastAsia="zh-CN"/>
        </w:rPr>
      </w:pPr>
    </w:p>
    <w:p>
      <w:pPr>
        <w:jc w:val="center"/>
        <w:rPr>
          <w:rFonts w:hint="eastAsia" w:ascii="仿宋" w:hAnsi="仿宋" w:eastAsia="仿宋" w:cs="仿宋"/>
          <w:sz w:val="30"/>
          <w:szCs w:val="30"/>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 w:hAnsi="仿宋" w:eastAsia="仿宋" w:cs="仿宋"/>
          <w:sz w:val="30"/>
          <w:szCs w:val="30"/>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eastAsia" w:ascii="仿宋" w:hAnsi="仿宋" w:eastAsia="仿宋" w:cs="仿宋"/>
          <w:sz w:val="30"/>
          <w:szCs w:val="30"/>
          <w:lang w:val="en-US" w:eastAsia="zh-CN"/>
        </w:rPr>
        <w:br w:type="page"/>
      </w:r>
    </w:p>
    <w:p>
      <w:pPr>
        <w:rPr>
          <w:rFonts w:hint="eastAsia" w:ascii="仿宋" w:hAnsi="仿宋" w:eastAsia="仿宋" w:cs="仿宋"/>
          <w:sz w:val="30"/>
          <w:szCs w:val="30"/>
          <w:lang w:val="en-US" w:eastAsia="zh-CN"/>
        </w:rPr>
      </w:pPr>
    </w:p>
    <w:p>
      <w:pPr>
        <w:jc w:val="center"/>
        <w:rPr>
          <w:rFonts w:hint="eastAsia" w:ascii="仿宋" w:hAnsi="仿宋" w:eastAsia="仿宋" w:cs="仿宋"/>
          <w:sz w:val="30"/>
          <w:szCs w:val="30"/>
          <w:lang w:val="en-US" w:eastAsia="zh-CN"/>
        </w:rPr>
      </w:pPr>
    </w:p>
    <w:p>
      <w:pPr>
        <w:jc w:val="center"/>
        <w:rPr>
          <w:rFonts w:hint="eastAsia" w:ascii="仿宋" w:hAnsi="仿宋" w:eastAsia="仿宋" w:cs="仿宋"/>
          <w:sz w:val="30"/>
          <w:szCs w:val="30"/>
          <w:lang w:val="en-US" w:eastAsia="zh-CN"/>
        </w:rPr>
      </w:pPr>
    </w:p>
    <w:p>
      <w:pPr>
        <w:jc w:val="center"/>
        <w:rPr>
          <w:rFonts w:hint="eastAsia"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322163302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107333427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ind w:firstLine="321" w:firstLineChars="10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 xml:space="preserve">  （十七）经费形式: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1760"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5536;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hqDitwAAAANAQAADwAAAAAAAAABACAAAAAi&#10;AAAAZHJzL2Rvd25yZXYueG1sUEsBAhQAFAAAAAgAh07iQMn1XHp4AgAACAUAAA4AAAAAAAAAAQAg&#10;AAAAKwEAAGRycy9lMm9Eb2MueG1sUEsFBgAAAAAGAAYAWQEAABUG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r>
        <w:drawing>
          <wp:inline distT="0" distB="0" distL="114300" distR="114300">
            <wp:extent cx="5723890" cy="4956175"/>
            <wp:effectExtent l="0" t="0" r="10160" b="1587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6"/>
                    <a:stretch>
                      <a:fillRect/>
                    </a:stretch>
                  </pic:blipFill>
                  <pic:spPr>
                    <a:xfrm>
                      <a:off x="0" y="0"/>
                      <a:ext cx="5723890" cy="4956175"/>
                    </a:xfrm>
                    <a:prstGeom prst="rect">
                      <a:avLst/>
                    </a:prstGeom>
                    <a:noFill/>
                    <a:ln>
                      <a:noFill/>
                    </a:ln>
                  </pic:spPr>
                </pic:pic>
              </a:graphicData>
            </a:graphic>
          </wp:inline>
        </w:drawing>
      </w:r>
    </w:p>
    <w:p>
      <w:pPr>
        <w:bidi w:val="0"/>
        <w:jc w:val="left"/>
        <w:rPr>
          <w:rFonts w:hint="default"/>
          <w:lang w:val="en-US" w:eastAsia="zh-CN"/>
        </w:rPr>
      </w:pPr>
      <w:r>
        <w:drawing>
          <wp:inline distT="0" distB="0" distL="114300" distR="114300">
            <wp:extent cx="5903595" cy="4192905"/>
            <wp:effectExtent l="0" t="0" r="1905" b="17145"/>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27"/>
                    <a:stretch>
                      <a:fillRect/>
                    </a:stretch>
                  </pic:blipFill>
                  <pic:spPr>
                    <a:xfrm>
                      <a:off x="0" y="0"/>
                      <a:ext cx="5903595" cy="4192905"/>
                    </a:xfrm>
                    <a:prstGeom prst="rect">
                      <a:avLst/>
                    </a:prstGeom>
                    <a:noFill/>
                    <a:ln>
                      <a:noFill/>
                    </a:ln>
                  </pic:spPr>
                </pic:pic>
              </a:graphicData>
            </a:graphic>
          </wp:inline>
        </w:drawing>
      </w:r>
    </w:p>
    <w:p>
      <w:pPr>
        <w:rPr>
          <w:rFonts w:hint="default"/>
          <w:lang w:val="en-US" w:eastAsia="zh-CN"/>
        </w:rPr>
      </w:pPr>
      <w:r>
        <w:rPr>
          <w:rFonts w:hint="default"/>
          <w:lang w:val="en-US" w:eastAsia="zh-CN"/>
        </w:rPr>
        <w:br w:type="page"/>
      </w:r>
    </w:p>
    <w:p>
      <w:pPr>
        <w:rPr>
          <w:rFonts w:hint="default"/>
          <w:lang w:val="en-US" w:eastAsia="zh-CN"/>
        </w:rPr>
      </w:pPr>
      <w:r>
        <w:drawing>
          <wp:inline distT="0" distB="0" distL="114300" distR="114300">
            <wp:extent cx="5715000" cy="3657600"/>
            <wp:effectExtent l="0" t="0" r="0" b="0"/>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28"/>
                    <a:stretch>
                      <a:fillRect/>
                    </a:stretch>
                  </pic:blipFill>
                  <pic:spPr>
                    <a:xfrm>
                      <a:off x="0" y="0"/>
                      <a:ext cx="5715000" cy="3657600"/>
                    </a:xfrm>
                    <a:prstGeom prst="rect">
                      <a:avLst/>
                    </a:prstGeom>
                    <a:noFill/>
                    <a:ln>
                      <a:noFill/>
                    </a:ln>
                  </pic:spPr>
                </pic:pic>
              </a:graphicData>
            </a:graphic>
          </wp:inline>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r>
        <w:drawing>
          <wp:inline distT="0" distB="0" distL="114300" distR="114300">
            <wp:extent cx="5715635" cy="4453255"/>
            <wp:effectExtent l="0" t="0" r="18415" b="4445"/>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pic:cNvPicPr>
                  </pic:nvPicPr>
                  <pic:blipFill>
                    <a:blip r:embed="rId29"/>
                    <a:stretch>
                      <a:fillRect/>
                    </a:stretch>
                  </pic:blipFill>
                  <pic:spPr>
                    <a:xfrm>
                      <a:off x="0" y="0"/>
                      <a:ext cx="5715635" cy="4453255"/>
                    </a:xfrm>
                    <a:prstGeom prst="rect">
                      <a:avLst/>
                    </a:prstGeom>
                    <a:noFill/>
                    <a:ln>
                      <a:noFill/>
                    </a:ln>
                  </pic:spPr>
                </pic:pic>
              </a:graphicData>
            </a:graphic>
          </wp:inline>
        </w:drawing>
      </w:r>
    </w:p>
    <w:p/>
    <w:p/>
    <w:p/>
    <w:p/>
    <w:p/>
    <w:p/>
    <w:p/>
    <w:p/>
    <w:p>
      <w:pPr>
        <w:rPr>
          <w:rFonts w:hint="default"/>
          <w:lang w:val="en-US" w:eastAsia="zh-CN"/>
        </w:rPr>
      </w:pPr>
    </w:p>
    <w:p>
      <w:pPr>
        <w:rPr>
          <w:rFonts w:hint="default"/>
          <w:lang w:val="en-US" w:eastAsia="zh-CN"/>
        </w:rPr>
      </w:pPr>
    </w:p>
    <w:tbl>
      <w:tblPr>
        <w:tblStyle w:val="7"/>
        <w:tblW w:w="9990" w:type="dxa"/>
        <w:jc w:val="center"/>
        <w:shd w:val="clear" w:color="auto" w:fill="auto"/>
        <w:tblLayout w:type="autofit"/>
        <w:tblCellMar>
          <w:top w:w="0" w:type="dxa"/>
          <w:left w:w="0" w:type="dxa"/>
          <w:bottom w:w="0" w:type="dxa"/>
          <w:right w:w="0" w:type="dxa"/>
        </w:tblCellMar>
      </w:tblPr>
      <w:tblGrid>
        <w:gridCol w:w="14070"/>
      </w:tblGrid>
      <w:tr>
        <w:tblPrEx>
          <w:shd w:val="clear" w:color="auto" w:fill="auto"/>
          <w:tblCellMar>
            <w:top w:w="0" w:type="dxa"/>
            <w:left w:w="0" w:type="dxa"/>
            <w:bottom w:w="0" w:type="dxa"/>
            <w:right w:w="0" w:type="dxa"/>
          </w:tblCellMar>
        </w:tblPrEx>
        <w:trPr>
          <w:trHeight w:val="600" w:hRule="atLeast"/>
          <w:jc w:val="center"/>
        </w:trPr>
        <w:tc>
          <w:tcPr>
            <w:tcW w:w="99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drawing>
                <wp:inline distT="0" distB="0" distL="114300" distR="114300">
                  <wp:extent cx="8915400" cy="5210175"/>
                  <wp:effectExtent l="0" t="0" r="0" b="9525"/>
                  <wp:docPr id="2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pic:cNvPicPr>
                            <a:picLocks noChangeAspect="1"/>
                          </pic:cNvPicPr>
                        </pic:nvPicPr>
                        <pic:blipFill>
                          <a:blip r:embed="rId30"/>
                          <a:stretch>
                            <a:fillRect/>
                          </a:stretch>
                        </pic:blipFill>
                        <pic:spPr>
                          <a:xfrm>
                            <a:off x="0" y="0"/>
                            <a:ext cx="8915400" cy="5210175"/>
                          </a:xfrm>
                          <a:prstGeom prst="rect">
                            <a:avLst/>
                          </a:prstGeom>
                          <a:noFill/>
                          <a:ln>
                            <a:noFill/>
                          </a:ln>
                        </pic:spPr>
                      </pic:pic>
                    </a:graphicData>
                  </a:graphic>
                </wp:inline>
              </w:drawing>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r>
        <w:drawing>
          <wp:inline distT="0" distB="0" distL="114300" distR="114300">
            <wp:extent cx="5724525" cy="3400425"/>
            <wp:effectExtent l="0" t="0" r="9525" b="9525"/>
            <wp:docPr id="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pic:cNvPicPr>
                      <a:picLocks noChangeAspect="1"/>
                    </pic:cNvPicPr>
                  </pic:nvPicPr>
                  <pic:blipFill>
                    <a:blip r:embed="rId31"/>
                    <a:stretch>
                      <a:fillRect/>
                    </a:stretch>
                  </pic:blipFill>
                  <pic:spPr>
                    <a:xfrm>
                      <a:off x="0" y="0"/>
                      <a:ext cx="5724525" cy="3400425"/>
                    </a:xfrm>
                    <a:prstGeom prst="rect">
                      <a:avLst/>
                    </a:prstGeom>
                    <a:noFill/>
                    <a:ln>
                      <a:noFill/>
                    </a:ln>
                  </pic:spPr>
                </pic:pic>
              </a:graphicData>
            </a:graphic>
          </wp:inline>
        </w:drawing>
      </w:r>
    </w:p>
    <w:p/>
    <w:p/>
    <w:p/>
    <w:p/>
    <w:p/>
    <w:p/>
    <w:p/>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drawing>
          <wp:inline distT="0" distB="0" distL="114300" distR="114300">
            <wp:extent cx="5720715" cy="1170305"/>
            <wp:effectExtent l="0" t="0" r="13335" b="10795"/>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pic:cNvPicPr>
                      <a:picLocks noChangeAspect="1"/>
                    </pic:cNvPicPr>
                  </pic:nvPicPr>
                  <pic:blipFill>
                    <a:blip r:embed="rId32"/>
                    <a:stretch>
                      <a:fillRect/>
                    </a:stretch>
                  </pic:blipFill>
                  <pic:spPr>
                    <a:xfrm>
                      <a:off x="0" y="0"/>
                      <a:ext cx="5720715" cy="1170305"/>
                    </a:xfrm>
                    <a:prstGeom prst="rect">
                      <a:avLst/>
                    </a:prstGeom>
                    <a:noFill/>
                    <a:ln>
                      <a:noFill/>
                    </a:ln>
                  </pic:spPr>
                </pic:pic>
              </a:graphicData>
            </a:graphic>
          </wp:inline>
        </w:drawing>
      </w:r>
    </w:p>
    <w:p>
      <w:pPr>
        <w:rPr>
          <w:rFonts w:hint="default"/>
          <w:lang w:val="en-US" w:eastAsia="zh-CN"/>
        </w:rPr>
      </w:pPr>
      <w:r>
        <w:rPr>
          <w:rFonts w:hint="default"/>
          <w:lang w:val="en-US" w:eastAsia="zh-CN"/>
        </w:rPr>
        <w:br w:type="page"/>
      </w:r>
    </w:p>
    <w:tbl>
      <w:tblPr>
        <w:tblStyle w:val="7"/>
        <w:tblW w:w="9510" w:type="dxa"/>
        <w:jc w:val="center"/>
        <w:shd w:val="clear" w:color="auto" w:fill="auto"/>
        <w:tblLayout w:type="autofit"/>
        <w:tblCellMar>
          <w:top w:w="0" w:type="dxa"/>
          <w:left w:w="0" w:type="dxa"/>
          <w:bottom w:w="0" w:type="dxa"/>
          <w:right w:w="0" w:type="dxa"/>
        </w:tblCellMar>
      </w:tblPr>
      <w:tblGrid>
        <w:gridCol w:w="2430"/>
        <w:gridCol w:w="36"/>
        <w:gridCol w:w="36"/>
        <w:gridCol w:w="910"/>
        <w:gridCol w:w="1017"/>
        <w:gridCol w:w="1017"/>
        <w:gridCol w:w="1017"/>
        <w:gridCol w:w="1017"/>
        <w:gridCol w:w="1017"/>
        <w:gridCol w:w="1017"/>
      </w:tblGrid>
      <w:tr>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部门：丰宁满族自治县纪委</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注：本单位没有相关的收入支出。</w:t>
      </w:r>
      <w:r>
        <w:rPr>
          <w:rFonts w:hint="default"/>
          <w:lang w:val="en-US" w:eastAsia="zh-CN"/>
        </w:rPr>
        <w:br w:type="page"/>
      </w:r>
    </w:p>
    <w:tbl>
      <w:tblPr>
        <w:tblStyle w:val="7"/>
        <w:tblW w:w="9915" w:type="dxa"/>
        <w:jc w:val="center"/>
        <w:shd w:val="clear" w:color="auto" w:fill="auto"/>
        <w:tblLayout w:type="autofit"/>
        <w:tblCellMar>
          <w:top w:w="0" w:type="dxa"/>
          <w:left w:w="0" w:type="dxa"/>
          <w:bottom w:w="0" w:type="dxa"/>
          <w:right w:w="0" w:type="dxa"/>
        </w:tblCellMar>
      </w:tblPr>
      <w:tblGrid>
        <w:gridCol w:w="3623"/>
        <w:gridCol w:w="54"/>
        <w:gridCol w:w="54"/>
        <w:gridCol w:w="2770"/>
        <w:gridCol w:w="701"/>
        <w:gridCol w:w="1357"/>
        <w:gridCol w:w="1356"/>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部门：丰宁满族自治县纪委</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注：本单位没有相关的收入支出。</w:t>
      </w: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322163404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107333324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850" w:h="16783"/>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2EF0"/>
    <w:multiLevelType w:val="singleLevel"/>
    <w:tmpl w:val="1A832EF0"/>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5AA181F"/>
    <w:rsid w:val="06233DC0"/>
    <w:rsid w:val="083937C6"/>
    <w:rsid w:val="0AB43926"/>
    <w:rsid w:val="0EEF66CA"/>
    <w:rsid w:val="10BA3429"/>
    <w:rsid w:val="12B304DA"/>
    <w:rsid w:val="13C21EE1"/>
    <w:rsid w:val="15E42587"/>
    <w:rsid w:val="163A31A9"/>
    <w:rsid w:val="19B11DE9"/>
    <w:rsid w:val="1ACC3D07"/>
    <w:rsid w:val="1AF049E8"/>
    <w:rsid w:val="21B04612"/>
    <w:rsid w:val="23C373C2"/>
    <w:rsid w:val="24543D92"/>
    <w:rsid w:val="252E2B80"/>
    <w:rsid w:val="274D7601"/>
    <w:rsid w:val="27F55B7E"/>
    <w:rsid w:val="2CA90647"/>
    <w:rsid w:val="2DF6571C"/>
    <w:rsid w:val="30A969BC"/>
    <w:rsid w:val="311053BD"/>
    <w:rsid w:val="31C2036A"/>
    <w:rsid w:val="31D857D8"/>
    <w:rsid w:val="320D02A5"/>
    <w:rsid w:val="33510554"/>
    <w:rsid w:val="348B47CC"/>
    <w:rsid w:val="348E566F"/>
    <w:rsid w:val="349F4B24"/>
    <w:rsid w:val="35E32EFB"/>
    <w:rsid w:val="36425F0A"/>
    <w:rsid w:val="37BD2E2B"/>
    <w:rsid w:val="388E4B57"/>
    <w:rsid w:val="3A226944"/>
    <w:rsid w:val="3A291F66"/>
    <w:rsid w:val="3AEE6A48"/>
    <w:rsid w:val="3AFE51FC"/>
    <w:rsid w:val="3BCE605C"/>
    <w:rsid w:val="3C1620AA"/>
    <w:rsid w:val="3CCC0CD8"/>
    <w:rsid w:val="3D8F080F"/>
    <w:rsid w:val="40383423"/>
    <w:rsid w:val="44CE1FA4"/>
    <w:rsid w:val="464F5622"/>
    <w:rsid w:val="46711382"/>
    <w:rsid w:val="487F73ED"/>
    <w:rsid w:val="489F647F"/>
    <w:rsid w:val="49130464"/>
    <w:rsid w:val="495153E2"/>
    <w:rsid w:val="4A347EAE"/>
    <w:rsid w:val="4A483CB7"/>
    <w:rsid w:val="4AA024BB"/>
    <w:rsid w:val="4E1845A1"/>
    <w:rsid w:val="4E3D1097"/>
    <w:rsid w:val="511E1D6A"/>
    <w:rsid w:val="51E71CAA"/>
    <w:rsid w:val="52600405"/>
    <w:rsid w:val="529B4319"/>
    <w:rsid w:val="52F433E0"/>
    <w:rsid w:val="55FD3B83"/>
    <w:rsid w:val="57654788"/>
    <w:rsid w:val="57773DD6"/>
    <w:rsid w:val="578B79AB"/>
    <w:rsid w:val="59960089"/>
    <w:rsid w:val="59B618CC"/>
    <w:rsid w:val="59DA1FC1"/>
    <w:rsid w:val="5ACB730C"/>
    <w:rsid w:val="5AD17D8A"/>
    <w:rsid w:val="5C276BF5"/>
    <w:rsid w:val="5CCD3FD5"/>
    <w:rsid w:val="5E007465"/>
    <w:rsid w:val="5EAD7C6B"/>
    <w:rsid w:val="5F3150C1"/>
    <w:rsid w:val="5F601999"/>
    <w:rsid w:val="609071DF"/>
    <w:rsid w:val="61FA5F9D"/>
    <w:rsid w:val="64CD6910"/>
    <w:rsid w:val="662A1CEC"/>
    <w:rsid w:val="668F7AD5"/>
    <w:rsid w:val="6789158D"/>
    <w:rsid w:val="67D81BA4"/>
    <w:rsid w:val="6AAF1C96"/>
    <w:rsid w:val="6B746A36"/>
    <w:rsid w:val="6BF73C6E"/>
    <w:rsid w:val="6C376A80"/>
    <w:rsid w:val="6E356D25"/>
    <w:rsid w:val="6E8B1CCD"/>
    <w:rsid w:val="6F0D6C94"/>
    <w:rsid w:val="71D11C06"/>
    <w:rsid w:val="71D25155"/>
    <w:rsid w:val="75681757"/>
    <w:rsid w:val="75A346A8"/>
    <w:rsid w:val="75C7489B"/>
    <w:rsid w:val="76E259AD"/>
    <w:rsid w:val="79B9382C"/>
    <w:rsid w:val="7B043B76"/>
    <w:rsid w:val="7B263D35"/>
    <w:rsid w:val="7BCA5A3D"/>
    <w:rsid w:val="7C041A6A"/>
    <w:rsid w:val="7CC965BE"/>
    <w:rsid w:val="7DAA0BFE"/>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字符"/>
    <w:basedOn w:val="9"/>
    <w:link w:val="5"/>
    <w:qFormat/>
    <w:uiPriority w:val="99"/>
    <w:rPr>
      <w:rFonts w:asciiTheme="minorAscii" w:hAnsiTheme="minorAscii" w:eastAsiaTheme="minorEastAsia"/>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8.png"/><Relationship Id="rId31" Type="http://schemas.openxmlformats.org/officeDocument/2006/relationships/image" Target="media/image7.png"/><Relationship Id="rId30" Type="http://schemas.openxmlformats.org/officeDocument/2006/relationships/image" Target="media/image6.png"/><Relationship Id="rId3" Type="http://schemas.openxmlformats.org/officeDocument/2006/relationships/header" Target="header1.xml"/><Relationship Id="rId29" Type="http://schemas.openxmlformats.org/officeDocument/2006/relationships/image" Target="media/image5.png"/><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8</TotalTime>
  <ScaleCrop>false</ScaleCrop>
  <LinksUpToDate>false</LinksUpToDate>
  <CharactersWithSpaces>9394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2020-12-07T09:22:01Z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