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bookmarkStart w:id="18" w:name="_GoBack"/>
      <w:bookmarkEnd w:id="18"/>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29</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30</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30</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1"/>
      </w:pPr>
      <w:bookmarkStart w:id="0" w:name="_Toc_2_2_0000000001"/>
      <w:bookmarkStart w:id="1" w:name="_Toc_2_2_0000000006"/>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222中共丰宁满族自治县纪委</w:t>
            </w:r>
          </w:p>
        </w:tc>
        <w:tc>
          <w:tcPr>
            <w:tcW w:w="2126" w:type="dxa"/>
            <w:tcBorders>
              <w:top w:val="single" w:color="FFFFFF" w:sz="6" w:space="0"/>
              <w:left w:val="single" w:color="FFFFFF" w:sz="6" w:space="0"/>
              <w:right w:val="single" w:color="FFFFFF" w:sz="6" w:space="0"/>
            </w:tcBorders>
            <w:vAlign w:val="center"/>
          </w:tcPr>
          <w:p>
            <w:pPr>
              <w:pStyle w:val="12"/>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845.85</w:t>
            </w:r>
          </w:p>
        </w:tc>
        <w:tc>
          <w:tcPr>
            <w:tcW w:w="4535" w:type="dxa"/>
            <w:vAlign w:val="center"/>
          </w:tcPr>
          <w:p>
            <w:pPr>
              <w:pStyle w:val="16"/>
            </w:pPr>
            <w:r>
              <w:t>一、一般公共服务支出</w:t>
            </w:r>
          </w:p>
        </w:tc>
        <w:tc>
          <w:tcPr>
            <w:tcW w:w="2126" w:type="dxa"/>
            <w:vAlign w:val="center"/>
          </w:tcPr>
          <w:p>
            <w:pPr>
              <w:pStyle w:val="15"/>
            </w:pPr>
            <w:r>
              <w:t>680.04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75.32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8"/>
            </w:pPr>
            <w:r>
              <w:t>本年收入合计</w:t>
            </w:r>
          </w:p>
        </w:tc>
        <w:tc>
          <w:tcPr>
            <w:tcW w:w="2126" w:type="dxa"/>
            <w:vAlign w:val="center"/>
          </w:tcPr>
          <w:p>
            <w:pPr>
              <w:pStyle w:val="19"/>
            </w:pPr>
            <w:r>
              <w:t>845.85</w:t>
            </w:r>
          </w:p>
        </w:tc>
        <w:tc>
          <w:tcPr>
            <w:tcW w:w="4535" w:type="dxa"/>
            <w:vAlign w:val="center"/>
          </w:tcPr>
          <w:p>
            <w:pPr>
              <w:pStyle w:val="18"/>
            </w:pPr>
            <w:r>
              <w:t>本年支出合计</w:t>
            </w:r>
          </w:p>
        </w:tc>
        <w:tc>
          <w:tcPr>
            <w:tcW w:w="2126" w:type="dxa"/>
            <w:vAlign w:val="center"/>
          </w:tcPr>
          <w:p>
            <w:pPr>
              <w:pStyle w:val="19"/>
            </w:pPr>
            <w:r>
              <w:t>845.85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8"/>
            </w:pPr>
            <w:r>
              <w:t>收入总计</w:t>
            </w:r>
          </w:p>
        </w:tc>
        <w:tc>
          <w:tcPr>
            <w:tcW w:w="2126" w:type="dxa"/>
            <w:vAlign w:val="center"/>
          </w:tcPr>
          <w:p>
            <w:pPr>
              <w:pStyle w:val="19"/>
            </w:pPr>
            <w:r>
              <w:t>845.85</w:t>
            </w:r>
          </w:p>
        </w:tc>
        <w:tc>
          <w:tcPr>
            <w:tcW w:w="4535" w:type="dxa"/>
            <w:vAlign w:val="center"/>
          </w:tcPr>
          <w:p>
            <w:pPr>
              <w:pStyle w:val="18"/>
            </w:pPr>
            <w:r>
              <w:t>支出总计</w:t>
            </w:r>
          </w:p>
        </w:tc>
        <w:tc>
          <w:tcPr>
            <w:tcW w:w="2126" w:type="dxa"/>
            <w:vAlign w:val="center"/>
          </w:tcPr>
          <w:p>
            <w:pPr>
              <w:pStyle w:val="19"/>
            </w:pPr>
            <w:r>
              <w:t>845.85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_Toc_2_2_0000000002"/>
      <w:r>
        <w:rPr>
          <w:rFonts w:ascii="方正小标宋_GBK" w:hAnsi="方正小标宋_GBK" w:eastAsia="方正小标宋_GBK" w:cs="方正小标宋_GBK"/>
          <w:color w:val="000000"/>
          <w:sz w:val="36"/>
        </w:rPr>
        <w:t>部门预算收入总表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222中共丰宁满族自治县纪委</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845.85</w:t>
            </w:r>
          </w:p>
        </w:tc>
        <w:tc>
          <w:tcPr>
            <w:tcW w:w="1134" w:type="dxa"/>
            <w:vAlign w:val="center"/>
          </w:tcPr>
          <w:p>
            <w:pPr>
              <w:pStyle w:val="19"/>
            </w:pPr>
            <w:r>
              <w:t>845.85</w:t>
            </w:r>
          </w:p>
        </w:tc>
        <w:tc>
          <w:tcPr>
            <w:tcW w:w="1134" w:type="dxa"/>
            <w:vAlign w:val="center"/>
          </w:tcPr>
          <w:p>
            <w:pPr>
              <w:pStyle w:val="19"/>
            </w:pPr>
            <w:r>
              <w:t>845.85</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680.04</w:t>
            </w:r>
          </w:p>
        </w:tc>
        <w:tc>
          <w:tcPr>
            <w:tcW w:w="1134" w:type="dxa"/>
            <w:vAlign w:val="center"/>
          </w:tcPr>
          <w:p>
            <w:pPr>
              <w:pStyle w:val="15"/>
            </w:pPr>
            <w:r>
              <w:t>680.04</w:t>
            </w:r>
          </w:p>
        </w:tc>
        <w:tc>
          <w:tcPr>
            <w:tcW w:w="1134" w:type="dxa"/>
            <w:vAlign w:val="center"/>
          </w:tcPr>
          <w:p>
            <w:pPr>
              <w:pStyle w:val="15"/>
            </w:pPr>
            <w:r>
              <w:t>680.04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20111</w:t>
            </w:r>
          </w:p>
        </w:tc>
        <w:tc>
          <w:tcPr>
            <w:tcW w:w="1559" w:type="dxa"/>
            <w:vAlign w:val="center"/>
          </w:tcPr>
          <w:p>
            <w:pPr>
              <w:pStyle w:val="16"/>
            </w:pPr>
            <w:r>
              <w:t>纪检监察事务</w:t>
            </w:r>
          </w:p>
        </w:tc>
        <w:tc>
          <w:tcPr>
            <w:tcW w:w="1134" w:type="dxa"/>
            <w:vAlign w:val="center"/>
          </w:tcPr>
          <w:p>
            <w:pPr>
              <w:pStyle w:val="15"/>
            </w:pPr>
            <w:r>
              <w:t>680.04</w:t>
            </w:r>
          </w:p>
        </w:tc>
        <w:tc>
          <w:tcPr>
            <w:tcW w:w="1134" w:type="dxa"/>
            <w:vAlign w:val="center"/>
          </w:tcPr>
          <w:p>
            <w:pPr>
              <w:pStyle w:val="15"/>
            </w:pPr>
            <w:r>
              <w:t>680.04</w:t>
            </w:r>
          </w:p>
        </w:tc>
        <w:tc>
          <w:tcPr>
            <w:tcW w:w="1134" w:type="dxa"/>
            <w:vAlign w:val="center"/>
          </w:tcPr>
          <w:p>
            <w:pPr>
              <w:pStyle w:val="15"/>
            </w:pPr>
            <w:r>
              <w:t>680.04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2011101</w:t>
            </w:r>
          </w:p>
        </w:tc>
        <w:tc>
          <w:tcPr>
            <w:tcW w:w="1559" w:type="dxa"/>
            <w:vAlign w:val="center"/>
          </w:tcPr>
          <w:p>
            <w:pPr>
              <w:pStyle w:val="16"/>
            </w:pPr>
            <w:r>
              <w:t>行政运行</w:t>
            </w:r>
          </w:p>
        </w:tc>
        <w:tc>
          <w:tcPr>
            <w:tcW w:w="1134" w:type="dxa"/>
            <w:vAlign w:val="center"/>
          </w:tcPr>
          <w:p>
            <w:pPr>
              <w:pStyle w:val="15"/>
            </w:pPr>
            <w:r>
              <w:t>600.04</w:t>
            </w:r>
          </w:p>
        </w:tc>
        <w:tc>
          <w:tcPr>
            <w:tcW w:w="1134" w:type="dxa"/>
            <w:vAlign w:val="center"/>
          </w:tcPr>
          <w:p>
            <w:pPr>
              <w:pStyle w:val="15"/>
            </w:pPr>
            <w:r>
              <w:t>600.04</w:t>
            </w:r>
          </w:p>
        </w:tc>
        <w:tc>
          <w:tcPr>
            <w:tcW w:w="1134" w:type="dxa"/>
            <w:vAlign w:val="center"/>
          </w:tcPr>
          <w:p>
            <w:pPr>
              <w:pStyle w:val="15"/>
            </w:pPr>
            <w:r>
              <w:t>600.04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2011104</w:t>
            </w:r>
          </w:p>
        </w:tc>
        <w:tc>
          <w:tcPr>
            <w:tcW w:w="1559" w:type="dxa"/>
            <w:vAlign w:val="center"/>
          </w:tcPr>
          <w:p>
            <w:pPr>
              <w:pStyle w:val="16"/>
            </w:pPr>
            <w:r>
              <w:t>大案要案查处</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r>
              <w:t>80.00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75.32</w:t>
            </w:r>
          </w:p>
        </w:tc>
        <w:tc>
          <w:tcPr>
            <w:tcW w:w="1134" w:type="dxa"/>
            <w:vAlign w:val="center"/>
          </w:tcPr>
          <w:p>
            <w:pPr>
              <w:pStyle w:val="15"/>
            </w:pPr>
            <w:r>
              <w:t>75.32</w:t>
            </w:r>
          </w:p>
        </w:tc>
        <w:tc>
          <w:tcPr>
            <w:tcW w:w="1134" w:type="dxa"/>
            <w:vAlign w:val="center"/>
          </w:tcPr>
          <w:p>
            <w:pPr>
              <w:pStyle w:val="15"/>
            </w:pPr>
            <w:r>
              <w:t>75.32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72.98</w:t>
            </w:r>
          </w:p>
        </w:tc>
        <w:tc>
          <w:tcPr>
            <w:tcW w:w="1134" w:type="dxa"/>
            <w:vAlign w:val="center"/>
          </w:tcPr>
          <w:p>
            <w:pPr>
              <w:pStyle w:val="15"/>
            </w:pPr>
            <w:r>
              <w:t>72.98</w:t>
            </w:r>
          </w:p>
        </w:tc>
        <w:tc>
          <w:tcPr>
            <w:tcW w:w="1134" w:type="dxa"/>
            <w:vAlign w:val="center"/>
          </w:tcPr>
          <w:p>
            <w:pPr>
              <w:pStyle w:val="15"/>
            </w:pPr>
            <w:r>
              <w:t>72.98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9.54</w:t>
            </w:r>
          </w:p>
        </w:tc>
        <w:tc>
          <w:tcPr>
            <w:tcW w:w="1134" w:type="dxa"/>
            <w:vAlign w:val="center"/>
          </w:tcPr>
          <w:p>
            <w:pPr>
              <w:pStyle w:val="15"/>
            </w:pPr>
            <w:r>
              <w:t>9.54</w:t>
            </w:r>
          </w:p>
        </w:tc>
        <w:tc>
          <w:tcPr>
            <w:tcW w:w="1134" w:type="dxa"/>
            <w:vAlign w:val="center"/>
          </w:tcPr>
          <w:p>
            <w:pPr>
              <w:pStyle w:val="15"/>
            </w:pPr>
            <w:r>
              <w:t>9.54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63.44</w:t>
            </w:r>
          </w:p>
        </w:tc>
        <w:tc>
          <w:tcPr>
            <w:tcW w:w="1134" w:type="dxa"/>
            <w:vAlign w:val="center"/>
          </w:tcPr>
          <w:p>
            <w:pPr>
              <w:pStyle w:val="15"/>
            </w:pPr>
            <w:r>
              <w:t>63.44</w:t>
            </w:r>
          </w:p>
        </w:tc>
        <w:tc>
          <w:tcPr>
            <w:tcW w:w="1134" w:type="dxa"/>
            <w:vAlign w:val="center"/>
          </w:tcPr>
          <w:p>
            <w:pPr>
              <w:pStyle w:val="15"/>
            </w:pPr>
            <w:r>
              <w:t>63.44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20808</w:t>
            </w:r>
          </w:p>
        </w:tc>
        <w:tc>
          <w:tcPr>
            <w:tcW w:w="1559" w:type="dxa"/>
            <w:vAlign w:val="center"/>
          </w:tcPr>
          <w:p>
            <w:pPr>
              <w:pStyle w:val="16"/>
            </w:pPr>
            <w:r>
              <w:t>抚恤</w:t>
            </w:r>
          </w:p>
        </w:tc>
        <w:tc>
          <w:tcPr>
            <w:tcW w:w="1134" w:type="dxa"/>
            <w:vAlign w:val="center"/>
          </w:tcPr>
          <w:p>
            <w:pPr>
              <w:pStyle w:val="15"/>
            </w:pPr>
            <w:r>
              <w:t>2.34</w:t>
            </w:r>
          </w:p>
        </w:tc>
        <w:tc>
          <w:tcPr>
            <w:tcW w:w="1134" w:type="dxa"/>
            <w:vAlign w:val="center"/>
          </w:tcPr>
          <w:p>
            <w:pPr>
              <w:pStyle w:val="15"/>
            </w:pPr>
            <w:r>
              <w:t>2.34</w:t>
            </w:r>
          </w:p>
        </w:tc>
        <w:tc>
          <w:tcPr>
            <w:tcW w:w="1134" w:type="dxa"/>
            <w:vAlign w:val="center"/>
          </w:tcPr>
          <w:p>
            <w:pPr>
              <w:pStyle w:val="15"/>
            </w:pPr>
            <w:r>
              <w:t>2.34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2080802</w:t>
            </w:r>
          </w:p>
        </w:tc>
        <w:tc>
          <w:tcPr>
            <w:tcW w:w="1559" w:type="dxa"/>
            <w:vAlign w:val="center"/>
          </w:tcPr>
          <w:p>
            <w:pPr>
              <w:pStyle w:val="16"/>
            </w:pPr>
            <w:r>
              <w:t>伤残抚恤</w:t>
            </w:r>
          </w:p>
        </w:tc>
        <w:tc>
          <w:tcPr>
            <w:tcW w:w="1134" w:type="dxa"/>
            <w:vAlign w:val="center"/>
          </w:tcPr>
          <w:p>
            <w:pPr>
              <w:pStyle w:val="15"/>
            </w:pPr>
            <w:r>
              <w:t>2.34</w:t>
            </w:r>
          </w:p>
        </w:tc>
        <w:tc>
          <w:tcPr>
            <w:tcW w:w="1134" w:type="dxa"/>
            <w:vAlign w:val="center"/>
          </w:tcPr>
          <w:p>
            <w:pPr>
              <w:pStyle w:val="15"/>
            </w:pPr>
            <w:r>
              <w:t>2.34</w:t>
            </w:r>
          </w:p>
        </w:tc>
        <w:tc>
          <w:tcPr>
            <w:tcW w:w="1134" w:type="dxa"/>
            <w:vAlign w:val="center"/>
          </w:tcPr>
          <w:p>
            <w:pPr>
              <w:pStyle w:val="15"/>
            </w:pPr>
            <w:r>
              <w:t>2.34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35.85</w:t>
            </w:r>
          </w:p>
        </w:tc>
        <w:tc>
          <w:tcPr>
            <w:tcW w:w="1134" w:type="dxa"/>
            <w:vAlign w:val="center"/>
          </w:tcPr>
          <w:p>
            <w:pPr>
              <w:pStyle w:val="15"/>
            </w:pPr>
            <w:r>
              <w:t>35.85</w:t>
            </w:r>
          </w:p>
        </w:tc>
        <w:tc>
          <w:tcPr>
            <w:tcW w:w="1134" w:type="dxa"/>
            <w:vAlign w:val="center"/>
          </w:tcPr>
          <w:p>
            <w:pPr>
              <w:pStyle w:val="15"/>
            </w:pPr>
            <w:r>
              <w:t>35.85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35.85</w:t>
            </w:r>
          </w:p>
        </w:tc>
        <w:tc>
          <w:tcPr>
            <w:tcW w:w="1134" w:type="dxa"/>
            <w:vAlign w:val="center"/>
          </w:tcPr>
          <w:p>
            <w:pPr>
              <w:pStyle w:val="15"/>
            </w:pPr>
            <w:r>
              <w:t>35.85</w:t>
            </w:r>
          </w:p>
        </w:tc>
        <w:tc>
          <w:tcPr>
            <w:tcW w:w="1134" w:type="dxa"/>
            <w:vAlign w:val="center"/>
          </w:tcPr>
          <w:p>
            <w:pPr>
              <w:pStyle w:val="15"/>
            </w:pPr>
            <w:r>
              <w:t>35.85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35.85</w:t>
            </w:r>
          </w:p>
        </w:tc>
        <w:tc>
          <w:tcPr>
            <w:tcW w:w="1134" w:type="dxa"/>
            <w:vAlign w:val="center"/>
          </w:tcPr>
          <w:p>
            <w:pPr>
              <w:pStyle w:val="15"/>
            </w:pPr>
            <w:r>
              <w:t>35.85</w:t>
            </w:r>
          </w:p>
        </w:tc>
        <w:tc>
          <w:tcPr>
            <w:tcW w:w="1134" w:type="dxa"/>
            <w:vAlign w:val="center"/>
          </w:tcPr>
          <w:p>
            <w:pPr>
              <w:pStyle w:val="15"/>
            </w:pPr>
            <w:r>
              <w:t>35.85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54.63</w:t>
            </w:r>
          </w:p>
        </w:tc>
        <w:tc>
          <w:tcPr>
            <w:tcW w:w="1134" w:type="dxa"/>
            <w:vAlign w:val="center"/>
          </w:tcPr>
          <w:p>
            <w:pPr>
              <w:pStyle w:val="15"/>
            </w:pPr>
            <w:r>
              <w:t>54.63</w:t>
            </w:r>
          </w:p>
        </w:tc>
        <w:tc>
          <w:tcPr>
            <w:tcW w:w="1134" w:type="dxa"/>
            <w:vAlign w:val="center"/>
          </w:tcPr>
          <w:p>
            <w:pPr>
              <w:pStyle w:val="15"/>
            </w:pPr>
            <w:r>
              <w:t>54.63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16</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54.63</w:t>
            </w:r>
          </w:p>
        </w:tc>
        <w:tc>
          <w:tcPr>
            <w:tcW w:w="1134" w:type="dxa"/>
            <w:vAlign w:val="center"/>
          </w:tcPr>
          <w:p>
            <w:pPr>
              <w:pStyle w:val="15"/>
            </w:pPr>
            <w:r>
              <w:t>54.63</w:t>
            </w:r>
          </w:p>
        </w:tc>
        <w:tc>
          <w:tcPr>
            <w:tcW w:w="1134" w:type="dxa"/>
            <w:vAlign w:val="center"/>
          </w:tcPr>
          <w:p>
            <w:pPr>
              <w:pStyle w:val="15"/>
            </w:pPr>
            <w:r>
              <w:t>54.63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17</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54.63</w:t>
            </w:r>
          </w:p>
        </w:tc>
        <w:tc>
          <w:tcPr>
            <w:tcW w:w="1134" w:type="dxa"/>
            <w:vAlign w:val="center"/>
          </w:tcPr>
          <w:p>
            <w:pPr>
              <w:pStyle w:val="15"/>
            </w:pPr>
            <w:r>
              <w:t>54.63</w:t>
            </w:r>
          </w:p>
        </w:tc>
        <w:tc>
          <w:tcPr>
            <w:tcW w:w="1134" w:type="dxa"/>
            <w:vAlign w:val="center"/>
          </w:tcPr>
          <w:p>
            <w:pPr>
              <w:pStyle w:val="15"/>
            </w:pPr>
            <w:r>
              <w:t>54.63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3"/>
      <w:r>
        <w:rPr>
          <w:rFonts w:ascii="方正小标宋_GBK" w:hAnsi="方正小标宋_GBK" w:eastAsia="方正小标宋_GBK" w:cs="方正小标宋_GBK"/>
          <w:color w:val="000000"/>
          <w:sz w:val="36"/>
        </w:rPr>
        <w:t>部门预算支出总表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222中共丰宁满族自治县纪委</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845.85</w:t>
            </w:r>
          </w:p>
        </w:tc>
        <w:tc>
          <w:tcPr>
            <w:tcW w:w="1361" w:type="dxa"/>
            <w:vAlign w:val="center"/>
          </w:tcPr>
          <w:p>
            <w:pPr>
              <w:pStyle w:val="19"/>
            </w:pPr>
            <w:r>
              <w:t>720.85</w:t>
            </w:r>
          </w:p>
        </w:tc>
        <w:tc>
          <w:tcPr>
            <w:tcW w:w="1361" w:type="dxa"/>
            <w:vAlign w:val="center"/>
          </w:tcPr>
          <w:p>
            <w:pPr>
              <w:pStyle w:val="19"/>
            </w:pPr>
            <w:r>
              <w:t>125.00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680.04</w:t>
            </w:r>
          </w:p>
        </w:tc>
        <w:tc>
          <w:tcPr>
            <w:tcW w:w="1361" w:type="dxa"/>
            <w:vAlign w:val="center"/>
          </w:tcPr>
          <w:p>
            <w:pPr>
              <w:pStyle w:val="15"/>
            </w:pPr>
            <w:r>
              <w:t>555.04</w:t>
            </w:r>
          </w:p>
        </w:tc>
        <w:tc>
          <w:tcPr>
            <w:tcW w:w="1361" w:type="dxa"/>
            <w:vAlign w:val="center"/>
          </w:tcPr>
          <w:p>
            <w:pPr>
              <w:pStyle w:val="15"/>
            </w:pPr>
            <w:r>
              <w:t>125.00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20111</w:t>
            </w:r>
          </w:p>
        </w:tc>
        <w:tc>
          <w:tcPr>
            <w:tcW w:w="4535" w:type="dxa"/>
            <w:vAlign w:val="center"/>
          </w:tcPr>
          <w:p>
            <w:pPr>
              <w:pStyle w:val="16"/>
            </w:pPr>
            <w:r>
              <w:t>纪检监察事务</w:t>
            </w:r>
          </w:p>
        </w:tc>
        <w:tc>
          <w:tcPr>
            <w:tcW w:w="1361" w:type="dxa"/>
            <w:vAlign w:val="center"/>
          </w:tcPr>
          <w:p>
            <w:pPr>
              <w:pStyle w:val="15"/>
            </w:pPr>
            <w:r>
              <w:t>680.04</w:t>
            </w:r>
          </w:p>
        </w:tc>
        <w:tc>
          <w:tcPr>
            <w:tcW w:w="1361" w:type="dxa"/>
            <w:vAlign w:val="center"/>
          </w:tcPr>
          <w:p>
            <w:pPr>
              <w:pStyle w:val="15"/>
            </w:pPr>
            <w:r>
              <w:t>555.04</w:t>
            </w:r>
          </w:p>
        </w:tc>
        <w:tc>
          <w:tcPr>
            <w:tcW w:w="1361" w:type="dxa"/>
            <w:vAlign w:val="center"/>
          </w:tcPr>
          <w:p>
            <w:pPr>
              <w:pStyle w:val="15"/>
            </w:pPr>
            <w:r>
              <w:t>125.00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2011101</w:t>
            </w:r>
          </w:p>
        </w:tc>
        <w:tc>
          <w:tcPr>
            <w:tcW w:w="4535" w:type="dxa"/>
            <w:vAlign w:val="center"/>
          </w:tcPr>
          <w:p>
            <w:pPr>
              <w:pStyle w:val="16"/>
            </w:pPr>
            <w:r>
              <w:t>行政运行</w:t>
            </w:r>
          </w:p>
        </w:tc>
        <w:tc>
          <w:tcPr>
            <w:tcW w:w="1361" w:type="dxa"/>
            <w:vAlign w:val="center"/>
          </w:tcPr>
          <w:p>
            <w:pPr>
              <w:pStyle w:val="15"/>
            </w:pPr>
            <w:r>
              <w:t>600.04</w:t>
            </w:r>
          </w:p>
        </w:tc>
        <w:tc>
          <w:tcPr>
            <w:tcW w:w="1361" w:type="dxa"/>
            <w:vAlign w:val="center"/>
          </w:tcPr>
          <w:p>
            <w:pPr>
              <w:pStyle w:val="15"/>
            </w:pPr>
            <w:r>
              <w:t>555.04</w:t>
            </w:r>
          </w:p>
        </w:tc>
        <w:tc>
          <w:tcPr>
            <w:tcW w:w="1361" w:type="dxa"/>
            <w:vAlign w:val="center"/>
          </w:tcPr>
          <w:p>
            <w:pPr>
              <w:pStyle w:val="15"/>
            </w:pPr>
            <w:r>
              <w:t>45.00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2011104</w:t>
            </w:r>
          </w:p>
        </w:tc>
        <w:tc>
          <w:tcPr>
            <w:tcW w:w="4535" w:type="dxa"/>
            <w:vAlign w:val="center"/>
          </w:tcPr>
          <w:p>
            <w:pPr>
              <w:pStyle w:val="16"/>
            </w:pPr>
            <w:r>
              <w:t>大案要案查处</w:t>
            </w: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r>
              <w:t>80.00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75.32</w:t>
            </w:r>
          </w:p>
        </w:tc>
        <w:tc>
          <w:tcPr>
            <w:tcW w:w="1361" w:type="dxa"/>
            <w:vAlign w:val="center"/>
          </w:tcPr>
          <w:p>
            <w:pPr>
              <w:pStyle w:val="15"/>
            </w:pPr>
            <w:r>
              <w:t>75.32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72.98</w:t>
            </w:r>
          </w:p>
        </w:tc>
        <w:tc>
          <w:tcPr>
            <w:tcW w:w="1361" w:type="dxa"/>
            <w:vAlign w:val="center"/>
          </w:tcPr>
          <w:p>
            <w:pPr>
              <w:pStyle w:val="15"/>
            </w:pPr>
            <w:r>
              <w:t>72.98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9.54</w:t>
            </w:r>
          </w:p>
        </w:tc>
        <w:tc>
          <w:tcPr>
            <w:tcW w:w="1361" w:type="dxa"/>
            <w:vAlign w:val="center"/>
          </w:tcPr>
          <w:p>
            <w:pPr>
              <w:pStyle w:val="15"/>
            </w:pPr>
            <w:r>
              <w:t>9.54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63.44</w:t>
            </w:r>
          </w:p>
        </w:tc>
        <w:tc>
          <w:tcPr>
            <w:tcW w:w="1361" w:type="dxa"/>
            <w:vAlign w:val="center"/>
          </w:tcPr>
          <w:p>
            <w:pPr>
              <w:pStyle w:val="15"/>
            </w:pPr>
            <w:r>
              <w:t>63.44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20808</w:t>
            </w:r>
          </w:p>
        </w:tc>
        <w:tc>
          <w:tcPr>
            <w:tcW w:w="4535" w:type="dxa"/>
            <w:vAlign w:val="center"/>
          </w:tcPr>
          <w:p>
            <w:pPr>
              <w:pStyle w:val="16"/>
            </w:pPr>
            <w:r>
              <w:t>抚恤</w:t>
            </w:r>
          </w:p>
        </w:tc>
        <w:tc>
          <w:tcPr>
            <w:tcW w:w="1361" w:type="dxa"/>
            <w:vAlign w:val="center"/>
          </w:tcPr>
          <w:p>
            <w:pPr>
              <w:pStyle w:val="15"/>
            </w:pPr>
            <w:r>
              <w:t>2.34</w:t>
            </w:r>
          </w:p>
        </w:tc>
        <w:tc>
          <w:tcPr>
            <w:tcW w:w="1361" w:type="dxa"/>
            <w:vAlign w:val="center"/>
          </w:tcPr>
          <w:p>
            <w:pPr>
              <w:pStyle w:val="15"/>
            </w:pPr>
            <w:r>
              <w:t>2.34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2080802</w:t>
            </w:r>
          </w:p>
        </w:tc>
        <w:tc>
          <w:tcPr>
            <w:tcW w:w="4535" w:type="dxa"/>
            <w:vAlign w:val="center"/>
          </w:tcPr>
          <w:p>
            <w:pPr>
              <w:pStyle w:val="16"/>
            </w:pPr>
            <w:r>
              <w:t>伤残抚恤</w:t>
            </w:r>
          </w:p>
        </w:tc>
        <w:tc>
          <w:tcPr>
            <w:tcW w:w="1361" w:type="dxa"/>
            <w:vAlign w:val="center"/>
          </w:tcPr>
          <w:p>
            <w:pPr>
              <w:pStyle w:val="15"/>
            </w:pPr>
            <w:r>
              <w:t>2.34</w:t>
            </w:r>
          </w:p>
        </w:tc>
        <w:tc>
          <w:tcPr>
            <w:tcW w:w="1361" w:type="dxa"/>
            <w:vAlign w:val="center"/>
          </w:tcPr>
          <w:p>
            <w:pPr>
              <w:pStyle w:val="15"/>
            </w:pPr>
            <w:r>
              <w:t>2.34</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35.85</w:t>
            </w:r>
          </w:p>
        </w:tc>
        <w:tc>
          <w:tcPr>
            <w:tcW w:w="1361" w:type="dxa"/>
            <w:vAlign w:val="center"/>
          </w:tcPr>
          <w:p>
            <w:pPr>
              <w:pStyle w:val="15"/>
            </w:pPr>
            <w:r>
              <w:t>35.85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35.85</w:t>
            </w:r>
          </w:p>
        </w:tc>
        <w:tc>
          <w:tcPr>
            <w:tcW w:w="1361" w:type="dxa"/>
            <w:vAlign w:val="center"/>
          </w:tcPr>
          <w:p>
            <w:pPr>
              <w:pStyle w:val="15"/>
            </w:pPr>
            <w:r>
              <w:t>35.85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35.85</w:t>
            </w:r>
          </w:p>
        </w:tc>
        <w:tc>
          <w:tcPr>
            <w:tcW w:w="1361" w:type="dxa"/>
            <w:vAlign w:val="center"/>
          </w:tcPr>
          <w:p>
            <w:pPr>
              <w:pStyle w:val="15"/>
            </w:pPr>
            <w:r>
              <w:t>35.85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54.63</w:t>
            </w:r>
          </w:p>
        </w:tc>
        <w:tc>
          <w:tcPr>
            <w:tcW w:w="1361" w:type="dxa"/>
            <w:vAlign w:val="center"/>
          </w:tcPr>
          <w:p>
            <w:pPr>
              <w:pStyle w:val="15"/>
            </w:pPr>
            <w:r>
              <w:t>54.63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54.63</w:t>
            </w:r>
          </w:p>
        </w:tc>
        <w:tc>
          <w:tcPr>
            <w:tcW w:w="1361" w:type="dxa"/>
            <w:vAlign w:val="center"/>
          </w:tcPr>
          <w:p>
            <w:pPr>
              <w:pStyle w:val="15"/>
            </w:pPr>
            <w:r>
              <w:t>54.63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54.63</w:t>
            </w:r>
          </w:p>
        </w:tc>
        <w:tc>
          <w:tcPr>
            <w:tcW w:w="1361" w:type="dxa"/>
            <w:vAlign w:val="center"/>
          </w:tcPr>
          <w:p>
            <w:pPr>
              <w:pStyle w:val="15"/>
            </w:pPr>
            <w:r>
              <w:t>54.63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4"/>
      <w:r>
        <w:rPr>
          <w:rFonts w:ascii="方正小标宋_GBK" w:hAnsi="方正小标宋_GBK" w:eastAsia="方正小标宋_GBK" w:cs="方正小标宋_GBK"/>
          <w:color w:val="000000"/>
          <w:sz w:val="36"/>
        </w:rPr>
        <w:t>部门预算财政拨款收支总表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222中共丰宁满族自治县纪委</w:t>
            </w:r>
          </w:p>
        </w:tc>
        <w:tc>
          <w:tcPr>
            <w:tcW w:w="3402" w:type="dxa"/>
            <w:tcBorders>
              <w:top w:val="single" w:color="FFFFFF" w:sz="6" w:space="0"/>
              <w:left w:val="single" w:color="FFFFFF" w:sz="6" w:space="0"/>
              <w:right w:val="single" w:color="FFFFFF" w:sz="6" w:space="0"/>
            </w:tcBorders>
            <w:vAlign w:val="center"/>
          </w:tcPr>
          <w:p>
            <w:pPr>
              <w:pStyle w:val="12"/>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845.85</w:t>
            </w:r>
          </w:p>
        </w:tc>
        <w:tc>
          <w:tcPr>
            <w:tcW w:w="3402" w:type="dxa"/>
            <w:vAlign w:val="center"/>
          </w:tcPr>
          <w:p>
            <w:pPr>
              <w:pStyle w:val="16"/>
            </w:pPr>
            <w:r>
              <w:t>一、一般公共服务支出</w:t>
            </w:r>
          </w:p>
        </w:tc>
        <w:tc>
          <w:tcPr>
            <w:tcW w:w="1474" w:type="dxa"/>
            <w:vAlign w:val="center"/>
          </w:tcPr>
          <w:p>
            <w:pPr>
              <w:pStyle w:val="15"/>
            </w:pPr>
            <w:r>
              <w:t>680.04</w:t>
            </w:r>
          </w:p>
        </w:tc>
        <w:tc>
          <w:tcPr>
            <w:tcW w:w="1474" w:type="dxa"/>
            <w:vAlign w:val="center"/>
          </w:tcPr>
          <w:p>
            <w:pPr>
              <w:pStyle w:val="15"/>
            </w:pPr>
            <w:r>
              <w:t>680.04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75.32</w:t>
            </w:r>
          </w:p>
        </w:tc>
        <w:tc>
          <w:tcPr>
            <w:tcW w:w="1474" w:type="dxa"/>
            <w:vAlign w:val="center"/>
          </w:tcPr>
          <w:p>
            <w:pPr>
              <w:pStyle w:val="15"/>
            </w:pPr>
            <w:r>
              <w:t>75.32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35.85</w:t>
            </w:r>
          </w:p>
        </w:tc>
        <w:tc>
          <w:tcPr>
            <w:tcW w:w="1474" w:type="dxa"/>
            <w:vAlign w:val="center"/>
          </w:tcPr>
          <w:p>
            <w:pPr>
              <w:pStyle w:val="15"/>
            </w:pPr>
            <w:r>
              <w:t>35.85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54.63</w:t>
            </w:r>
          </w:p>
        </w:tc>
        <w:tc>
          <w:tcPr>
            <w:tcW w:w="1474" w:type="dxa"/>
            <w:vAlign w:val="center"/>
          </w:tcPr>
          <w:p>
            <w:pPr>
              <w:pStyle w:val="15"/>
            </w:pPr>
            <w:r>
              <w:t>54.63</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8"/>
            </w:pPr>
            <w:r>
              <w:t>本年收入合计</w:t>
            </w:r>
          </w:p>
        </w:tc>
        <w:tc>
          <w:tcPr>
            <w:tcW w:w="1474" w:type="dxa"/>
            <w:vAlign w:val="center"/>
          </w:tcPr>
          <w:p>
            <w:pPr>
              <w:pStyle w:val="19"/>
            </w:pPr>
            <w:r>
              <w:t>845.85</w:t>
            </w:r>
          </w:p>
        </w:tc>
        <w:tc>
          <w:tcPr>
            <w:tcW w:w="3402" w:type="dxa"/>
            <w:vAlign w:val="center"/>
          </w:tcPr>
          <w:p>
            <w:pPr>
              <w:pStyle w:val="18"/>
            </w:pPr>
            <w:r>
              <w:t>本年支出合计</w:t>
            </w:r>
          </w:p>
        </w:tc>
        <w:tc>
          <w:tcPr>
            <w:tcW w:w="1474" w:type="dxa"/>
            <w:vAlign w:val="center"/>
          </w:tcPr>
          <w:p>
            <w:pPr>
              <w:pStyle w:val="19"/>
            </w:pPr>
            <w:r>
              <w:t>845.85</w:t>
            </w:r>
          </w:p>
        </w:tc>
        <w:tc>
          <w:tcPr>
            <w:tcW w:w="1474" w:type="dxa"/>
            <w:vAlign w:val="center"/>
          </w:tcPr>
          <w:p>
            <w:pPr>
              <w:pStyle w:val="19"/>
            </w:pPr>
            <w:r>
              <w:t>845.85</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8"/>
            </w:pPr>
            <w:r>
              <w:t>收入总计</w:t>
            </w:r>
          </w:p>
        </w:tc>
        <w:tc>
          <w:tcPr>
            <w:tcW w:w="1474" w:type="dxa"/>
            <w:vAlign w:val="center"/>
          </w:tcPr>
          <w:p>
            <w:pPr>
              <w:pStyle w:val="19"/>
            </w:pPr>
            <w:r>
              <w:t>845.85</w:t>
            </w:r>
          </w:p>
        </w:tc>
        <w:tc>
          <w:tcPr>
            <w:tcW w:w="3402" w:type="dxa"/>
            <w:vAlign w:val="center"/>
          </w:tcPr>
          <w:p>
            <w:pPr>
              <w:pStyle w:val="18"/>
            </w:pPr>
            <w:r>
              <w:t>支出总计</w:t>
            </w:r>
          </w:p>
        </w:tc>
        <w:tc>
          <w:tcPr>
            <w:tcW w:w="1474" w:type="dxa"/>
            <w:vAlign w:val="center"/>
          </w:tcPr>
          <w:p>
            <w:pPr>
              <w:pStyle w:val="19"/>
            </w:pPr>
            <w:r>
              <w:t>845.85</w:t>
            </w:r>
          </w:p>
        </w:tc>
        <w:tc>
          <w:tcPr>
            <w:tcW w:w="1474" w:type="dxa"/>
            <w:vAlign w:val="center"/>
          </w:tcPr>
          <w:p>
            <w:pPr>
              <w:pStyle w:val="19"/>
            </w:pPr>
            <w:r>
              <w:t>845.85</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5"/>
      <w:r>
        <w:rPr>
          <w:rFonts w:ascii="方正小标宋_GBK" w:hAnsi="方正小标宋_GBK" w:eastAsia="方正小标宋_GBK" w:cs="方正小标宋_GBK"/>
          <w:color w:val="000000"/>
          <w:sz w:val="36"/>
        </w:rPr>
        <w:t>部门预算一般公共预算财政拨款支出表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222中共丰宁满族自治县纪委</w:t>
            </w:r>
          </w:p>
        </w:tc>
        <w:tc>
          <w:tcPr>
            <w:tcW w:w="2551" w:type="dxa"/>
            <w:tcBorders>
              <w:top w:val="single" w:color="FFFFFF" w:sz="6" w:space="0"/>
              <w:left w:val="single" w:color="FFFFFF" w:sz="6" w:space="0"/>
              <w:right w:val="single" w:color="FFFFFF" w:sz="6" w:space="0"/>
            </w:tcBorders>
            <w:vAlign w:val="center"/>
          </w:tcPr>
          <w:p>
            <w:pPr>
              <w:pStyle w:val="12"/>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845.85</w:t>
            </w:r>
          </w:p>
        </w:tc>
        <w:tc>
          <w:tcPr>
            <w:tcW w:w="2551" w:type="dxa"/>
            <w:vAlign w:val="center"/>
          </w:tcPr>
          <w:p>
            <w:pPr>
              <w:pStyle w:val="19"/>
            </w:pPr>
            <w:r>
              <w:t>720.85</w:t>
            </w:r>
          </w:p>
        </w:tc>
        <w:tc>
          <w:tcPr>
            <w:tcW w:w="2551" w:type="dxa"/>
            <w:vAlign w:val="center"/>
          </w:tcPr>
          <w:p>
            <w:pPr>
              <w:pStyle w:val="19"/>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680.04</w:t>
            </w:r>
          </w:p>
        </w:tc>
        <w:tc>
          <w:tcPr>
            <w:tcW w:w="2551" w:type="dxa"/>
            <w:vAlign w:val="center"/>
          </w:tcPr>
          <w:p>
            <w:pPr>
              <w:pStyle w:val="15"/>
            </w:pPr>
            <w:r>
              <w:t>555.04</w:t>
            </w:r>
          </w:p>
        </w:tc>
        <w:tc>
          <w:tcPr>
            <w:tcW w:w="2551" w:type="dxa"/>
            <w:vAlign w:val="center"/>
          </w:tcPr>
          <w:p>
            <w:pPr>
              <w:pStyle w:val="15"/>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20111</w:t>
            </w:r>
          </w:p>
        </w:tc>
        <w:tc>
          <w:tcPr>
            <w:tcW w:w="4535" w:type="dxa"/>
            <w:vAlign w:val="center"/>
          </w:tcPr>
          <w:p>
            <w:pPr>
              <w:pStyle w:val="16"/>
            </w:pPr>
            <w:r>
              <w:t>纪检监察事务</w:t>
            </w:r>
          </w:p>
        </w:tc>
        <w:tc>
          <w:tcPr>
            <w:tcW w:w="2551" w:type="dxa"/>
            <w:vAlign w:val="center"/>
          </w:tcPr>
          <w:p>
            <w:pPr>
              <w:pStyle w:val="15"/>
            </w:pPr>
            <w:r>
              <w:t>680.04</w:t>
            </w:r>
          </w:p>
        </w:tc>
        <w:tc>
          <w:tcPr>
            <w:tcW w:w="2551" w:type="dxa"/>
            <w:vAlign w:val="center"/>
          </w:tcPr>
          <w:p>
            <w:pPr>
              <w:pStyle w:val="15"/>
            </w:pPr>
            <w:r>
              <w:t>555.04</w:t>
            </w:r>
          </w:p>
        </w:tc>
        <w:tc>
          <w:tcPr>
            <w:tcW w:w="2551" w:type="dxa"/>
            <w:vAlign w:val="center"/>
          </w:tcPr>
          <w:p>
            <w:pPr>
              <w:pStyle w:val="15"/>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2011101</w:t>
            </w:r>
          </w:p>
        </w:tc>
        <w:tc>
          <w:tcPr>
            <w:tcW w:w="4535" w:type="dxa"/>
            <w:vAlign w:val="center"/>
          </w:tcPr>
          <w:p>
            <w:pPr>
              <w:pStyle w:val="16"/>
            </w:pPr>
            <w:r>
              <w:t>行政运行</w:t>
            </w:r>
          </w:p>
        </w:tc>
        <w:tc>
          <w:tcPr>
            <w:tcW w:w="2551" w:type="dxa"/>
            <w:vAlign w:val="center"/>
          </w:tcPr>
          <w:p>
            <w:pPr>
              <w:pStyle w:val="15"/>
            </w:pPr>
            <w:r>
              <w:t>600.04</w:t>
            </w:r>
          </w:p>
        </w:tc>
        <w:tc>
          <w:tcPr>
            <w:tcW w:w="2551" w:type="dxa"/>
            <w:vAlign w:val="center"/>
          </w:tcPr>
          <w:p>
            <w:pPr>
              <w:pStyle w:val="15"/>
            </w:pPr>
            <w:r>
              <w:t>555.04</w:t>
            </w:r>
          </w:p>
        </w:tc>
        <w:tc>
          <w:tcPr>
            <w:tcW w:w="2551" w:type="dxa"/>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2011104</w:t>
            </w:r>
          </w:p>
        </w:tc>
        <w:tc>
          <w:tcPr>
            <w:tcW w:w="4535" w:type="dxa"/>
            <w:vAlign w:val="center"/>
          </w:tcPr>
          <w:p>
            <w:pPr>
              <w:pStyle w:val="16"/>
            </w:pPr>
            <w:r>
              <w:t>大案要案查处</w:t>
            </w:r>
          </w:p>
        </w:tc>
        <w:tc>
          <w:tcPr>
            <w:tcW w:w="2551" w:type="dxa"/>
            <w:vAlign w:val="center"/>
          </w:tcPr>
          <w:p>
            <w:pPr>
              <w:pStyle w:val="15"/>
            </w:pPr>
            <w:r>
              <w:t>80.00</w:t>
            </w:r>
          </w:p>
        </w:tc>
        <w:tc>
          <w:tcPr>
            <w:tcW w:w="2551" w:type="dxa"/>
            <w:vAlign w:val="center"/>
          </w:tcPr>
          <w:p>
            <w:pPr>
              <w:pStyle w:val="15"/>
            </w:pPr>
          </w:p>
        </w:tc>
        <w:tc>
          <w:tcPr>
            <w:tcW w:w="2551" w:type="dxa"/>
            <w:vAlign w:val="center"/>
          </w:tcPr>
          <w:p>
            <w:pPr>
              <w:pStyle w:val="15"/>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75.32</w:t>
            </w:r>
          </w:p>
        </w:tc>
        <w:tc>
          <w:tcPr>
            <w:tcW w:w="2551" w:type="dxa"/>
            <w:vAlign w:val="center"/>
          </w:tcPr>
          <w:p>
            <w:pPr>
              <w:pStyle w:val="15"/>
            </w:pPr>
            <w:r>
              <w:t>75.32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72.98</w:t>
            </w:r>
          </w:p>
        </w:tc>
        <w:tc>
          <w:tcPr>
            <w:tcW w:w="2551" w:type="dxa"/>
            <w:vAlign w:val="center"/>
          </w:tcPr>
          <w:p>
            <w:pPr>
              <w:pStyle w:val="15"/>
            </w:pPr>
            <w:r>
              <w:t>72.98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9.54</w:t>
            </w:r>
          </w:p>
        </w:tc>
        <w:tc>
          <w:tcPr>
            <w:tcW w:w="2551" w:type="dxa"/>
            <w:vAlign w:val="center"/>
          </w:tcPr>
          <w:p>
            <w:pPr>
              <w:pStyle w:val="15"/>
            </w:pPr>
            <w:r>
              <w:t>9.54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63.44</w:t>
            </w:r>
          </w:p>
        </w:tc>
        <w:tc>
          <w:tcPr>
            <w:tcW w:w="2551" w:type="dxa"/>
            <w:vAlign w:val="center"/>
          </w:tcPr>
          <w:p>
            <w:pPr>
              <w:pStyle w:val="15"/>
            </w:pPr>
            <w:r>
              <w:t>63.44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20808</w:t>
            </w:r>
          </w:p>
        </w:tc>
        <w:tc>
          <w:tcPr>
            <w:tcW w:w="4535" w:type="dxa"/>
            <w:vAlign w:val="center"/>
          </w:tcPr>
          <w:p>
            <w:pPr>
              <w:pStyle w:val="16"/>
            </w:pPr>
            <w:r>
              <w:t>抚恤</w:t>
            </w:r>
          </w:p>
        </w:tc>
        <w:tc>
          <w:tcPr>
            <w:tcW w:w="2551" w:type="dxa"/>
            <w:vAlign w:val="center"/>
          </w:tcPr>
          <w:p>
            <w:pPr>
              <w:pStyle w:val="15"/>
            </w:pPr>
            <w:r>
              <w:t>2.34</w:t>
            </w:r>
          </w:p>
        </w:tc>
        <w:tc>
          <w:tcPr>
            <w:tcW w:w="2551" w:type="dxa"/>
            <w:vAlign w:val="center"/>
          </w:tcPr>
          <w:p>
            <w:pPr>
              <w:pStyle w:val="15"/>
            </w:pPr>
            <w:r>
              <w:t>2.34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2080802</w:t>
            </w:r>
          </w:p>
        </w:tc>
        <w:tc>
          <w:tcPr>
            <w:tcW w:w="4535" w:type="dxa"/>
            <w:vAlign w:val="center"/>
          </w:tcPr>
          <w:p>
            <w:pPr>
              <w:pStyle w:val="16"/>
            </w:pPr>
            <w:r>
              <w:t>伤残抚恤</w:t>
            </w:r>
          </w:p>
        </w:tc>
        <w:tc>
          <w:tcPr>
            <w:tcW w:w="2551" w:type="dxa"/>
            <w:vAlign w:val="center"/>
          </w:tcPr>
          <w:p>
            <w:pPr>
              <w:pStyle w:val="15"/>
            </w:pPr>
            <w:r>
              <w:t>2.34</w:t>
            </w:r>
          </w:p>
        </w:tc>
        <w:tc>
          <w:tcPr>
            <w:tcW w:w="2551" w:type="dxa"/>
            <w:vAlign w:val="center"/>
          </w:tcPr>
          <w:p>
            <w:pPr>
              <w:pStyle w:val="15"/>
            </w:pPr>
            <w:r>
              <w:t>2.34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35.85</w:t>
            </w:r>
          </w:p>
        </w:tc>
        <w:tc>
          <w:tcPr>
            <w:tcW w:w="2551" w:type="dxa"/>
            <w:vAlign w:val="center"/>
          </w:tcPr>
          <w:p>
            <w:pPr>
              <w:pStyle w:val="15"/>
            </w:pPr>
            <w:r>
              <w:t>35.85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35.85</w:t>
            </w:r>
          </w:p>
        </w:tc>
        <w:tc>
          <w:tcPr>
            <w:tcW w:w="2551" w:type="dxa"/>
            <w:vAlign w:val="center"/>
          </w:tcPr>
          <w:p>
            <w:pPr>
              <w:pStyle w:val="15"/>
            </w:pPr>
            <w:r>
              <w:t>35.85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35.85</w:t>
            </w:r>
          </w:p>
        </w:tc>
        <w:tc>
          <w:tcPr>
            <w:tcW w:w="2551" w:type="dxa"/>
            <w:vAlign w:val="center"/>
          </w:tcPr>
          <w:p>
            <w:pPr>
              <w:pStyle w:val="15"/>
            </w:pPr>
            <w:r>
              <w:t>35.85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54.63</w:t>
            </w:r>
          </w:p>
        </w:tc>
        <w:tc>
          <w:tcPr>
            <w:tcW w:w="2551" w:type="dxa"/>
            <w:vAlign w:val="center"/>
          </w:tcPr>
          <w:p>
            <w:pPr>
              <w:pStyle w:val="15"/>
            </w:pPr>
            <w:r>
              <w:t>54.63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54.63</w:t>
            </w:r>
          </w:p>
        </w:tc>
        <w:tc>
          <w:tcPr>
            <w:tcW w:w="2551" w:type="dxa"/>
            <w:vAlign w:val="center"/>
          </w:tcPr>
          <w:p>
            <w:pPr>
              <w:pStyle w:val="15"/>
            </w:pPr>
            <w:r>
              <w:t>54.63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54.63</w:t>
            </w:r>
          </w:p>
        </w:tc>
        <w:tc>
          <w:tcPr>
            <w:tcW w:w="2551" w:type="dxa"/>
            <w:vAlign w:val="center"/>
          </w:tcPr>
          <w:p>
            <w:pPr>
              <w:pStyle w:val="15"/>
            </w:pPr>
            <w:r>
              <w:t>54.63</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ind w:firstLine="3240" w:firstLineChars="900"/>
        <w:jc w:val="both"/>
        <w:outlineLvl w:val="1"/>
      </w:pPr>
      <w:r>
        <w:rPr>
          <w:rFonts w:hint="eastAsia" w:ascii="方正小标宋_GBK" w:hAnsi="方正小标宋_GBK" w:eastAsia="方正小标宋_GBK" w:cs="方正小标宋_GBK"/>
          <w:color w:val="000000"/>
          <w:sz w:val="36"/>
        </w:rPr>
        <w:t>部门预算一般公共预算财政拨款基本支出表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w:t>
            </w:r>
            <w:r>
              <w:rPr>
                <w:rFonts w:hint="eastAsia"/>
              </w:rPr>
              <w:t>中共丰宁满族自治县纪委</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支出部门经济分类科目</w:t>
            </w:r>
          </w:p>
        </w:tc>
        <w:tc>
          <w:tcPr>
            <w:tcW w:w="7654" w:type="dxa"/>
            <w:gridSpan w:val="3"/>
            <w:vAlign w:val="center"/>
          </w:tcPr>
          <w:p>
            <w:pPr>
              <w:pStyle w:val="14"/>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Align w:val="center"/>
          </w:tcPr>
          <w:p>
            <w:pPr>
              <w:pStyle w:val="14"/>
            </w:pPr>
            <w:r>
              <w:rPr>
                <w:rFonts w:hint="eastAsia"/>
              </w:rPr>
              <w:t>合计</w:t>
            </w:r>
          </w:p>
        </w:tc>
        <w:tc>
          <w:tcPr>
            <w:tcW w:w="2551" w:type="dxa"/>
            <w:vAlign w:val="center"/>
          </w:tcPr>
          <w:p>
            <w:pPr>
              <w:pStyle w:val="14"/>
            </w:pPr>
            <w:r>
              <w:rPr>
                <w:rFonts w:hint="eastAsia"/>
              </w:rPr>
              <w:t>人员经费</w:t>
            </w:r>
          </w:p>
        </w:tc>
        <w:tc>
          <w:tcPr>
            <w:tcW w:w="2551" w:type="dxa"/>
            <w:vAlign w:val="center"/>
          </w:tcPr>
          <w:p>
            <w:pPr>
              <w:pStyle w:val="14"/>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rPr>
                <w:rFonts w:hint="eastAsia"/>
              </w:rPr>
              <w:t>合计</w:t>
            </w:r>
          </w:p>
        </w:tc>
        <w:tc>
          <w:tcPr>
            <w:tcW w:w="2551" w:type="dxa"/>
            <w:vAlign w:val="center"/>
          </w:tcPr>
          <w:p>
            <w:pPr>
              <w:pStyle w:val="19"/>
            </w:pPr>
            <w:r>
              <w:t>720.85</w:t>
            </w:r>
          </w:p>
        </w:tc>
        <w:tc>
          <w:tcPr>
            <w:tcW w:w="2551" w:type="dxa"/>
            <w:vAlign w:val="center"/>
          </w:tcPr>
          <w:p>
            <w:pPr>
              <w:pStyle w:val="19"/>
            </w:pPr>
            <w:r>
              <w:t>618.78</w:t>
            </w:r>
          </w:p>
        </w:tc>
        <w:tc>
          <w:tcPr>
            <w:tcW w:w="2551" w:type="dxa"/>
            <w:vAlign w:val="center"/>
          </w:tcPr>
          <w:p>
            <w:pPr>
              <w:pStyle w:val="19"/>
            </w:pPr>
            <w:r>
              <w:t>102.07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rPr>
                <w:rFonts w:hint="eastAsia"/>
              </w:rPr>
              <w:t>工资福利支出</w:t>
            </w:r>
          </w:p>
        </w:tc>
        <w:tc>
          <w:tcPr>
            <w:tcW w:w="2551" w:type="dxa"/>
            <w:vAlign w:val="center"/>
          </w:tcPr>
          <w:p>
            <w:pPr>
              <w:pStyle w:val="15"/>
            </w:pPr>
            <w:r>
              <w:t>606.90</w:t>
            </w:r>
          </w:p>
        </w:tc>
        <w:tc>
          <w:tcPr>
            <w:tcW w:w="2551" w:type="dxa"/>
            <w:vAlign w:val="center"/>
          </w:tcPr>
          <w:p>
            <w:pPr>
              <w:pStyle w:val="15"/>
            </w:pPr>
            <w:r>
              <w:t>606.90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rPr>
                <w:rFonts w:hint="eastAsia"/>
              </w:rPr>
              <w:t>基本工资</w:t>
            </w:r>
          </w:p>
        </w:tc>
        <w:tc>
          <w:tcPr>
            <w:tcW w:w="2551" w:type="dxa"/>
            <w:vAlign w:val="center"/>
          </w:tcPr>
          <w:p>
            <w:pPr>
              <w:pStyle w:val="15"/>
            </w:pPr>
            <w:r>
              <w:t>227.28</w:t>
            </w:r>
          </w:p>
        </w:tc>
        <w:tc>
          <w:tcPr>
            <w:tcW w:w="2551" w:type="dxa"/>
            <w:vAlign w:val="center"/>
          </w:tcPr>
          <w:p>
            <w:pPr>
              <w:pStyle w:val="15"/>
            </w:pPr>
            <w:r>
              <w:t>227.28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rPr>
                <w:rFonts w:hint="eastAsia"/>
              </w:rPr>
              <w:t>津贴补贴</w:t>
            </w:r>
          </w:p>
        </w:tc>
        <w:tc>
          <w:tcPr>
            <w:tcW w:w="2551" w:type="dxa"/>
            <w:vAlign w:val="center"/>
          </w:tcPr>
          <w:p>
            <w:pPr>
              <w:pStyle w:val="15"/>
            </w:pPr>
            <w:r>
              <w:t>193.71</w:t>
            </w:r>
          </w:p>
        </w:tc>
        <w:tc>
          <w:tcPr>
            <w:tcW w:w="2551" w:type="dxa"/>
            <w:vAlign w:val="center"/>
          </w:tcPr>
          <w:p>
            <w:pPr>
              <w:pStyle w:val="15"/>
            </w:pPr>
            <w:r>
              <w:t>193.71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rPr>
                <w:rFonts w:hint="eastAsia"/>
              </w:rPr>
              <w:t>奖金</w:t>
            </w:r>
          </w:p>
        </w:tc>
        <w:tc>
          <w:tcPr>
            <w:tcW w:w="2551" w:type="dxa"/>
            <w:vAlign w:val="center"/>
          </w:tcPr>
          <w:p>
            <w:pPr>
              <w:pStyle w:val="15"/>
            </w:pPr>
            <w:r>
              <w:t>18.94</w:t>
            </w:r>
          </w:p>
        </w:tc>
        <w:tc>
          <w:tcPr>
            <w:tcW w:w="2551" w:type="dxa"/>
            <w:vAlign w:val="center"/>
          </w:tcPr>
          <w:p>
            <w:pPr>
              <w:pStyle w:val="15"/>
            </w:pPr>
            <w:r>
              <w:t>18.94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rPr>
                <w:rFonts w:hint="eastAsia"/>
              </w:rPr>
              <w:t>机关事业单位基本养老保险缴费</w:t>
            </w:r>
          </w:p>
        </w:tc>
        <w:tc>
          <w:tcPr>
            <w:tcW w:w="2551" w:type="dxa"/>
            <w:vAlign w:val="center"/>
          </w:tcPr>
          <w:p>
            <w:pPr>
              <w:pStyle w:val="15"/>
            </w:pPr>
            <w:r>
              <w:t>63.44</w:t>
            </w:r>
          </w:p>
        </w:tc>
        <w:tc>
          <w:tcPr>
            <w:tcW w:w="2551" w:type="dxa"/>
            <w:vAlign w:val="center"/>
          </w:tcPr>
          <w:p>
            <w:pPr>
              <w:pStyle w:val="15"/>
            </w:pPr>
            <w:r>
              <w:t>63.44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rPr>
                <w:rFonts w:hint="eastAsia"/>
              </w:rPr>
              <w:t>城镇职工基本医疗保险缴费</w:t>
            </w:r>
          </w:p>
        </w:tc>
        <w:tc>
          <w:tcPr>
            <w:tcW w:w="2551" w:type="dxa"/>
            <w:vAlign w:val="center"/>
          </w:tcPr>
          <w:p>
            <w:pPr>
              <w:pStyle w:val="15"/>
            </w:pPr>
            <w:r>
              <w:t>28.54</w:t>
            </w:r>
          </w:p>
        </w:tc>
        <w:tc>
          <w:tcPr>
            <w:tcW w:w="2551" w:type="dxa"/>
            <w:vAlign w:val="center"/>
          </w:tcPr>
          <w:p>
            <w:pPr>
              <w:pStyle w:val="15"/>
            </w:pPr>
            <w:r>
              <w:t>28.54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rPr>
                <w:rFonts w:hint="eastAsia"/>
              </w:rPr>
              <w:t>公务员医疗补助缴费</w:t>
            </w:r>
          </w:p>
        </w:tc>
        <w:tc>
          <w:tcPr>
            <w:tcW w:w="2551" w:type="dxa"/>
            <w:vAlign w:val="center"/>
          </w:tcPr>
          <w:p>
            <w:pPr>
              <w:pStyle w:val="15"/>
            </w:pPr>
            <w:r>
              <w:t>3.82</w:t>
            </w:r>
          </w:p>
        </w:tc>
        <w:tc>
          <w:tcPr>
            <w:tcW w:w="2551" w:type="dxa"/>
            <w:vAlign w:val="center"/>
          </w:tcPr>
          <w:p>
            <w:pPr>
              <w:pStyle w:val="15"/>
            </w:pPr>
            <w:r>
              <w:t>3.82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rPr>
                <w:rFonts w:hint="eastAsia"/>
              </w:rPr>
              <w:t>其他社会保障缴费</w:t>
            </w:r>
          </w:p>
        </w:tc>
        <w:tc>
          <w:tcPr>
            <w:tcW w:w="2551" w:type="dxa"/>
            <w:vAlign w:val="center"/>
          </w:tcPr>
          <w:p>
            <w:pPr>
              <w:pStyle w:val="15"/>
            </w:pPr>
            <w:r>
              <w:t>3.48</w:t>
            </w:r>
          </w:p>
        </w:tc>
        <w:tc>
          <w:tcPr>
            <w:tcW w:w="2551" w:type="dxa"/>
            <w:vAlign w:val="center"/>
          </w:tcPr>
          <w:p>
            <w:pPr>
              <w:pStyle w:val="15"/>
            </w:pPr>
            <w:r>
              <w:t>3.48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rPr>
                <w:rFonts w:hint="eastAsia"/>
              </w:rPr>
              <w:t>住房公积金</w:t>
            </w:r>
          </w:p>
        </w:tc>
        <w:tc>
          <w:tcPr>
            <w:tcW w:w="2551" w:type="dxa"/>
            <w:vAlign w:val="center"/>
          </w:tcPr>
          <w:p>
            <w:pPr>
              <w:pStyle w:val="15"/>
            </w:pPr>
            <w:r>
              <w:t>54.63</w:t>
            </w:r>
          </w:p>
        </w:tc>
        <w:tc>
          <w:tcPr>
            <w:tcW w:w="2551" w:type="dxa"/>
            <w:vAlign w:val="center"/>
          </w:tcPr>
          <w:p>
            <w:pPr>
              <w:pStyle w:val="15"/>
            </w:pPr>
            <w:r>
              <w:t>54.63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rPr>
                <w:rFonts w:hint="eastAsia"/>
              </w:rPr>
              <w:t>其他工资福利支出</w:t>
            </w:r>
          </w:p>
        </w:tc>
        <w:tc>
          <w:tcPr>
            <w:tcW w:w="2551" w:type="dxa"/>
            <w:vAlign w:val="center"/>
          </w:tcPr>
          <w:p>
            <w:pPr>
              <w:pStyle w:val="15"/>
            </w:pPr>
            <w:r>
              <w:t>13.06</w:t>
            </w:r>
          </w:p>
        </w:tc>
        <w:tc>
          <w:tcPr>
            <w:tcW w:w="2551" w:type="dxa"/>
            <w:vAlign w:val="center"/>
          </w:tcPr>
          <w:p>
            <w:pPr>
              <w:pStyle w:val="15"/>
            </w:pPr>
            <w:r>
              <w:t>13.06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rPr>
                <w:rFonts w:hint="eastAsia"/>
              </w:rPr>
              <w:t>商品和服务支出</w:t>
            </w:r>
          </w:p>
        </w:tc>
        <w:tc>
          <w:tcPr>
            <w:tcW w:w="2551" w:type="dxa"/>
            <w:vAlign w:val="center"/>
          </w:tcPr>
          <w:p>
            <w:pPr>
              <w:pStyle w:val="15"/>
            </w:pPr>
            <w:r>
              <w:t>102.07</w:t>
            </w:r>
          </w:p>
        </w:tc>
        <w:tc>
          <w:tcPr>
            <w:tcW w:w="2551" w:type="dxa"/>
            <w:vAlign w:val="center"/>
          </w:tcPr>
          <w:p>
            <w:pPr>
              <w:pStyle w:val="15"/>
            </w:pPr>
          </w:p>
        </w:tc>
        <w:tc>
          <w:tcPr>
            <w:tcW w:w="2551" w:type="dxa"/>
            <w:vAlign w:val="center"/>
          </w:tcPr>
          <w:p>
            <w:pPr>
              <w:pStyle w:val="15"/>
            </w:pPr>
            <w:r>
              <w:t>102.07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rPr>
                <w:rFonts w:hint="eastAsia"/>
              </w:rPr>
              <w:t>办公费</w:t>
            </w:r>
          </w:p>
        </w:tc>
        <w:tc>
          <w:tcPr>
            <w:tcW w:w="2551" w:type="dxa"/>
            <w:vAlign w:val="center"/>
          </w:tcPr>
          <w:p>
            <w:pPr>
              <w:pStyle w:val="15"/>
            </w:pPr>
            <w:r>
              <w:t>10.00</w:t>
            </w:r>
          </w:p>
        </w:tc>
        <w:tc>
          <w:tcPr>
            <w:tcW w:w="2551" w:type="dxa"/>
            <w:vAlign w:val="center"/>
          </w:tcPr>
          <w:p>
            <w:pPr>
              <w:pStyle w:val="15"/>
            </w:pPr>
          </w:p>
        </w:tc>
        <w:tc>
          <w:tcPr>
            <w:tcW w:w="2551" w:type="dxa"/>
            <w:vAlign w:val="center"/>
          </w:tcPr>
          <w:p>
            <w:pPr>
              <w:pStyle w:val="15"/>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30207</w:t>
            </w:r>
          </w:p>
        </w:tc>
        <w:tc>
          <w:tcPr>
            <w:tcW w:w="4535" w:type="dxa"/>
            <w:vAlign w:val="center"/>
          </w:tcPr>
          <w:p>
            <w:pPr>
              <w:pStyle w:val="16"/>
            </w:pPr>
            <w:r>
              <w:rPr>
                <w:rFonts w:hint="eastAsia"/>
              </w:rPr>
              <w:t>邮电费</w:t>
            </w:r>
          </w:p>
        </w:tc>
        <w:tc>
          <w:tcPr>
            <w:tcW w:w="2551" w:type="dxa"/>
            <w:vAlign w:val="center"/>
          </w:tcPr>
          <w:p>
            <w:pPr>
              <w:pStyle w:val="15"/>
            </w:pPr>
            <w:r>
              <w:t>26.04</w:t>
            </w:r>
          </w:p>
        </w:tc>
        <w:tc>
          <w:tcPr>
            <w:tcW w:w="2551" w:type="dxa"/>
            <w:vAlign w:val="center"/>
          </w:tcPr>
          <w:p>
            <w:pPr>
              <w:pStyle w:val="15"/>
            </w:pPr>
          </w:p>
        </w:tc>
        <w:tc>
          <w:tcPr>
            <w:tcW w:w="2551" w:type="dxa"/>
            <w:vAlign w:val="center"/>
          </w:tcPr>
          <w:p>
            <w:pPr>
              <w:pStyle w:val="15"/>
            </w:pPr>
            <w:r>
              <w:t>26.04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30213</w:t>
            </w:r>
          </w:p>
        </w:tc>
        <w:tc>
          <w:tcPr>
            <w:tcW w:w="4535" w:type="dxa"/>
            <w:vAlign w:val="center"/>
          </w:tcPr>
          <w:p>
            <w:pPr>
              <w:pStyle w:val="16"/>
            </w:pPr>
            <w:r>
              <w:rPr>
                <w:rFonts w:hint="eastAsia"/>
              </w:rPr>
              <w:t>维修</w:t>
            </w:r>
            <w:r>
              <w:t>(</w:t>
            </w:r>
            <w:r>
              <w:rPr>
                <w:rFonts w:hint="eastAsia"/>
              </w:rPr>
              <w:t>护</w:t>
            </w:r>
            <w:r>
              <w:t>)</w:t>
            </w:r>
            <w:r>
              <w:rPr>
                <w:rFonts w:hint="eastAsia"/>
              </w:rPr>
              <w:t>费</w:t>
            </w:r>
          </w:p>
        </w:tc>
        <w:tc>
          <w:tcPr>
            <w:tcW w:w="2551" w:type="dxa"/>
            <w:vAlign w:val="center"/>
          </w:tcPr>
          <w:p>
            <w:pPr>
              <w:pStyle w:val="15"/>
            </w:pPr>
            <w:r>
              <w:t>15.30</w:t>
            </w:r>
          </w:p>
        </w:tc>
        <w:tc>
          <w:tcPr>
            <w:tcW w:w="2551" w:type="dxa"/>
            <w:vAlign w:val="center"/>
          </w:tcPr>
          <w:p>
            <w:pPr>
              <w:pStyle w:val="15"/>
            </w:pPr>
          </w:p>
        </w:tc>
        <w:tc>
          <w:tcPr>
            <w:tcW w:w="2551" w:type="dxa"/>
            <w:vAlign w:val="center"/>
          </w:tcPr>
          <w:p>
            <w:pPr>
              <w:pStyle w:val="15"/>
            </w:pPr>
            <w:r>
              <w:t>15.30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30228</w:t>
            </w:r>
          </w:p>
        </w:tc>
        <w:tc>
          <w:tcPr>
            <w:tcW w:w="4535" w:type="dxa"/>
            <w:vAlign w:val="center"/>
          </w:tcPr>
          <w:p>
            <w:pPr>
              <w:pStyle w:val="16"/>
            </w:pPr>
            <w:r>
              <w:rPr>
                <w:rFonts w:hint="eastAsia"/>
              </w:rPr>
              <w:t>工会经费</w:t>
            </w:r>
          </w:p>
        </w:tc>
        <w:tc>
          <w:tcPr>
            <w:tcW w:w="2551" w:type="dxa"/>
            <w:vAlign w:val="center"/>
          </w:tcPr>
          <w:p>
            <w:pPr>
              <w:pStyle w:val="15"/>
            </w:pPr>
            <w:r>
              <w:t>4.75</w:t>
            </w:r>
          </w:p>
        </w:tc>
        <w:tc>
          <w:tcPr>
            <w:tcW w:w="2551" w:type="dxa"/>
            <w:vAlign w:val="center"/>
          </w:tcPr>
          <w:p>
            <w:pPr>
              <w:pStyle w:val="15"/>
            </w:pPr>
          </w:p>
        </w:tc>
        <w:tc>
          <w:tcPr>
            <w:tcW w:w="2551" w:type="dxa"/>
            <w:vAlign w:val="center"/>
          </w:tcPr>
          <w:p>
            <w:pPr>
              <w:pStyle w:val="15"/>
            </w:pPr>
            <w:r>
              <w:t>4.75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30229</w:t>
            </w:r>
          </w:p>
        </w:tc>
        <w:tc>
          <w:tcPr>
            <w:tcW w:w="4535" w:type="dxa"/>
            <w:vAlign w:val="center"/>
          </w:tcPr>
          <w:p>
            <w:pPr>
              <w:pStyle w:val="16"/>
            </w:pPr>
            <w:r>
              <w:rPr>
                <w:rFonts w:hint="eastAsia"/>
              </w:rPr>
              <w:t>福利费</w:t>
            </w:r>
          </w:p>
        </w:tc>
        <w:tc>
          <w:tcPr>
            <w:tcW w:w="2551" w:type="dxa"/>
            <w:vAlign w:val="center"/>
          </w:tcPr>
          <w:p>
            <w:pPr>
              <w:pStyle w:val="15"/>
            </w:pPr>
            <w:r>
              <w:t>7.22</w:t>
            </w:r>
          </w:p>
        </w:tc>
        <w:tc>
          <w:tcPr>
            <w:tcW w:w="2551" w:type="dxa"/>
            <w:vAlign w:val="center"/>
          </w:tcPr>
          <w:p>
            <w:pPr>
              <w:pStyle w:val="15"/>
            </w:pPr>
          </w:p>
        </w:tc>
        <w:tc>
          <w:tcPr>
            <w:tcW w:w="2551" w:type="dxa"/>
            <w:vAlign w:val="center"/>
          </w:tcPr>
          <w:p>
            <w:pPr>
              <w:pStyle w:val="15"/>
            </w:pPr>
            <w:r>
              <w:t>7.22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30239</w:t>
            </w:r>
          </w:p>
        </w:tc>
        <w:tc>
          <w:tcPr>
            <w:tcW w:w="4535" w:type="dxa"/>
            <w:vAlign w:val="center"/>
          </w:tcPr>
          <w:p>
            <w:pPr>
              <w:pStyle w:val="16"/>
            </w:pPr>
            <w:r>
              <w:rPr>
                <w:rFonts w:hint="eastAsia"/>
              </w:rPr>
              <w:t>其他交通费用</w:t>
            </w:r>
          </w:p>
        </w:tc>
        <w:tc>
          <w:tcPr>
            <w:tcW w:w="2551" w:type="dxa"/>
            <w:vAlign w:val="center"/>
          </w:tcPr>
          <w:p>
            <w:pPr>
              <w:pStyle w:val="15"/>
            </w:pPr>
            <w:r>
              <w:t>38.76</w:t>
            </w:r>
          </w:p>
        </w:tc>
        <w:tc>
          <w:tcPr>
            <w:tcW w:w="2551" w:type="dxa"/>
            <w:vAlign w:val="center"/>
          </w:tcPr>
          <w:p>
            <w:pPr>
              <w:pStyle w:val="15"/>
            </w:pPr>
          </w:p>
        </w:tc>
        <w:tc>
          <w:tcPr>
            <w:tcW w:w="2551" w:type="dxa"/>
            <w:vAlign w:val="center"/>
          </w:tcPr>
          <w:p>
            <w:pPr>
              <w:pStyle w:val="15"/>
            </w:pPr>
            <w:r>
              <w:t>38.76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rPr>
                <w:rFonts w:hint="eastAsia"/>
              </w:rPr>
              <w:t>对个人和家庭的补助</w:t>
            </w:r>
          </w:p>
        </w:tc>
        <w:tc>
          <w:tcPr>
            <w:tcW w:w="2551" w:type="dxa"/>
            <w:vAlign w:val="center"/>
          </w:tcPr>
          <w:p>
            <w:pPr>
              <w:pStyle w:val="15"/>
            </w:pPr>
            <w:r>
              <w:t>11.88</w:t>
            </w:r>
          </w:p>
        </w:tc>
        <w:tc>
          <w:tcPr>
            <w:tcW w:w="2551" w:type="dxa"/>
            <w:vAlign w:val="center"/>
          </w:tcPr>
          <w:p>
            <w:pPr>
              <w:pStyle w:val="15"/>
            </w:pPr>
            <w:r>
              <w:t>11.88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30302</w:t>
            </w:r>
          </w:p>
        </w:tc>
        <w:tc>
          <w:tcPr>
            <w:tcW w:w="4535" w:type="dxa"/>
            <w:vAlign w:val="center"/>
          </w:tcPr>
          <w:p>
            <w:pPr>
              <w:pStyle w:val="16"/>
            </w:pPr>
            <w:r>
              <w:rPr>
                <w:rFonts w:hint="eastAsia"/>
              </w:rPr>
              <w:t>退休费</w:t>
            </w:r>
          </w:p>
        </w:tc>
        <w:tc>
          <w:tcPr>
            <w:tcW w:w="2551" w:type="dxa"/>
            <w:vAlign w:val="center"/>
          </w:tcPr>
          <w:p>
            <w:pPr>
              <w:pStyle w:val="15"/>
            </w:pPr>
            <w:r>
              <w:t>9.54</w:t>
            </w:r>
          </w:p>
        </w:tc>
        <w:tc>
          <w:tcPr>
            <w:tcW w:w="2551" w:type="dxa"/>
            <w:vAlign w:val="center"/>
          </w:tcPr>
          <w:p>
            <w:pPr>
              <w:pStyle w:val="15"/>
            </w:pPr>
            <w:r>
              <w:t>9.54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30305</w:t>
            </w:r>
          </w:p>
        </w:tc>
        <w:tc>
          <w:tcPr>
            <w:tcW w:w="4535" w:type="dxa"/>
            <w:vAlign w:val="center"/>
          </w:tcPr>
          <w:p>
            <w:pPr>
              <w:pStyle w:val="16"/>
            </w:pPr>
            <w:r>
              <w:rPr>
                <w:rFonts w:hint="eastAsia"/>
              </w:rPr>
              <w:t>生活补助</w:t>
            </w:r>
          </w:p>
        </w:tc>
        <w:tc>
          <w:tcPr>
            <w:tcW w:w="2551" w:type="dxa"/>
            <w:vAlign w:val="center"/>
          </w:tcPr>
          <w:p>
            <w:pPr>
              <w:pStyle w:val="15"/>
            </w:pPr>
            <w:r>
              <w:t>2.34</w:t>
            </w:r>
          </w:p>
        </w:tc>
        <w:tc>
          <w:tcPr>
            <w:tcW w:w="2551" w:type="dxa"/>
            <w:vAlign w:val="center"/>
          </w:tcPr>
          <w:p>
            <w:pPr>
              <w:pStyle w:val="15"/>
            </w:pPr>
            <w:r>
              <w:t>2.34</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w:t>
            </w:r>
            <w:r>
              <w:rPr>
                <w:rFonts w:hint="eastAsia"/>
              </w:rPr>
              <w:t>中共丰宁满族自治县纪委</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222</w:t>
            </w:r>
            <w:r>
              <w:rPr>
                <w:rFonts w:hint="eastAsia"/>
              </w:rPr>
              <w:t>中共丰宁满族自治县纪委</w:t>
            </w:r>
          </w:p>
        </w:tc>
        <w:tc>
          <w:tcPr>
            <w:tcW w:w="255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5726" w:type="dxa"/>
            <w:gridSpan w:val="2"/>
            <w:vAlign w:val="center"/>
          </w:tcPr>
          <w:p>
            <w:pPr>
              <w:pStyle w:val="14"/>
            </w:pPr>
            <w:r>
              <w:rPr>
                <w:rFonts w:hint="eastAsia"/>
              </w:rPr>
              <w:t>功能分类科目</w:t>
            </w:r>
          </w:p>
        </w:tc>
        <w:tc>
          <w:tcPr>
            <w:tcW w:w="2551" w:type="dxa"/>
            <w:vMerge w:val="restart"/>
            <w:vAlign w:val="center"/>
          </w:tcPr>
          <w:p>
            <w:pPr>
              <w:pStyle w:val="14"/>
            </w:pPr>
            <w:r>
              <w:rPr>
                <w:rFonts w:hint="eastAsia"/>
              </w:rPr>
              <w:t>合计</w:t>
            </w:r>
          </w:p>
        </w:tc>
        <w:tc>
          <w:tcPr>
            <w:tcW w:w="2551" w:type="dxa"/>
            <w:vMerge w:val="restart"/>
            <w:vAlign w:val="center"/>
          </w:tcPr>
          <w:p>
            <w:pPr>
              <w:pStyle w:val="14"/>
            </w:pPr>
            <w:r>
              <w:rPr>
                <w:rFonts w:hint="eastAsia"/>
              </w:rPr>
              <w:t>基本支出</w:t>
            </w:r>
          </w:p>
        </w:tc>
        <w:tc>
          <w:tcPr>
            <w:tcW w:w="2551" w:type="dxa"/>
            <w:vMerge w:val="restart"/>
            <w:vAlign w:val="center"/>
          </w:tcPr>
          <w:p>
            <w:pPr>
              <w:pStyle w:val="14"/>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rPr>
                <w:rFonts w:hint="eastAsia"/>
              </w:rPr>
              <w:t>科目编码</w:t>
            </w:r>
          </w:p>
        </w:tc>
        <w:tc>
          <w:tcPr>
            <w:tcW w:w="4535" w:type="dxa"/>
            <w:vAlign w:val="center"/>
          </w:tcPr>
          <w:p>
            <w:pPr>
              <w:pStyle w:val="14"/>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rPr>
                <w:rFonts w:hint="eastAsia"/>
              </w:rP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222</w:t>
            </w:r>
            <w:r>
              <w:rPr>
                <w:rFonts w:hint="eastAsia"/>
              </w:rPr>
              <w:t>中共丰宁满族自治县纪委</w:t>
            </w:r>
          </w:p>
        </w:tc>
        <w:tc>
          <w:tcPr>
            <w:tcW w:w="2381" w:type="dxa"/>
            <w:tcBorders>
              <w:top w:val="single" w:color="FFFFFF" w:sz="6" w:space="0"/>
              <w:left w:val="single" w:color="FFFFFF" w:sz="6" w:space="0"/>
              <w:right w:val="single" w:color="FFFFFF" w:sz="6" w:space="0"/>
            </w:tcBorders>
            <w:vAlign w:val="center"/>
          </w:tcPr>
          <w:p>
            <w:pPr>
              <w:pStyle w:val="12"/>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11"/>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rPr>
                <w:rFonts w:hint="eastAsia"/>
              </w:rPr>
              <w:t>序号</w:t>
            </w:r>
          </w:p>
        </w:tc>
        <w:tc>
          <w:tcPr>
            <w:tcW w:w="3798" w:type="dxa"/>
            <w:vMerge w:val="restart"/>
            <w:vAlign w:val="center"/>
          </w:tcPr>
          <w:p>
            <w:pPr>
              <w:pStyle w:val="14"/>
            </w:pPr>
            <w:r>
              <w:rPr>
                <w:rFonts w:hint="eastAsia"/>
              </w:rPr>
              <w:t>项</w:t>
            </w:r>
            <w:r>
              <w:t xml:space="preserve">  </w:t>
            </w:r>
            <w:r>
              <w:rPr>
                <w:rFonts w:hint="eastAsia"/>
              </w:rPr>
              <w:t>目</w:t>
            </w:r>
          </w:p>
        </w:tc>
        <w:tc>
          <w:tcPr>
            <w:tcW w:w="9524" w:type="dxa"/>
            <w:gridSpan w:val="4"/>
            <w:vAlign w:val="center"/>
          </w:tcPr>
          <w:p>
            <w:pPr>
              <w:pStyle w:val="14"/>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rPr>
                <w:rFonts w:hint="eastAsia"/>
              </w:rPr>
              <w:t>合计</w:t>
            </w:r>
          </w:p>
        </w:tc>
        <w:tc>
          <w:tcPr>
            <w:tcW w:w="2381" w:type="dxa"/>
            <w:vAlign w:val="center"/>
          </w:tcPr>
          <w:p>
            <w:pPr>
              <w:pStyle w:val="14"/>
            </w:pPr>
            <w:r>
              <w:rPr>
                <w:rFonts w:hint="eastAsia"/>
              </w:rPr>
              <w:t>一般公共预算</w:t>
            </w:r>
            <w:r>
              <w:t xml:space="preserve">              </w:t>
            </w:r>
            <w:r>
              <w:rPr>
                <w:rFonts w:hint="eastAsia"/>
              </w:rPr>
              <w:t>财政拨款</w:t>
            </w:r>
          </w:p>
        </w:tc>
        <w:tc>
          <w:tcPr>
            <w:tcW w:w="2381" w:type="dxa"/>
            <w:vAlign w:val="center"/>
          </w:tcPr>
          <w:p>
            <w:pPr>
              <w:pStyle w:val="14"/>
            </w:pPr>
            <w:r>
              <w:rPr>
                <w:rFonts w:hint="eastAsia"/>
              </w:rPr>
              <w:t>政府性基金</w:t>
            </w:r>
            <w:r>
              <w:t xml:space="preserve">                  </w:t>
            </w:r>
            <w:r>
              <w:rPr>
                <w:rFonts w:hint="eastAsia"/>
              </w:rPr>
              <w:t>预算拨款</w:t>
            </w:r>
          </w:p>
        </w:tc>
        <w:tc>
          <w:tcPr>
            <w:tcW w:w="2381" w:type="dxa"/>
            <w:vAlign w:val="center"/>
          </w:tcPr>
          <w:p>
            <w:pPr>
              <w:pStyle w:val="14"/>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rPr>
                <w:rFonts w:hint="eastAsia"/>
              </w:rP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rPr>
                <w:rFonts w:hint="eastAsia"/>
              </w:rPr>
              <w:t>合计</w:t>
            </w:r>
          </w:p>
        </w:tc>
        <w:tc>
          <w:tcPr>
            <w:tcW w:w="2381" w:type="dxa"/>
            <w:vAlign w:val="center"/>
          </w:tcPr>
          <w:p>
            <w:pPr>
              <w:pStyle w:val="19"/>
            </w:pPr>
            <w:r>
              <w:t>64.70</w:t>
            </w:r>
          </w:p>
        </w:tc>
        <w:tc>
          <w:tcPr>
            <w:tcW w:w="2381" w:type="dxa"/>
            <w:vAlign w:val="center"/>
          </w:tcPr>
          <w:p>
            <w:pPr>
              <w:pStyle w:val="19"/>
            </w:pPr>
            <w:r>
              <w:t>64.70</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rPr>
                <w:rFonts w:hint="eastAsia"/>
              </w:rP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 xml:space="preserve">    </w:t>
            </w:r>
            <w:r>
              <w:rPr>
                <w:rFonts w:hint="eastAsia"/>
              </w:rPr>
              <w:t>其中：教学科研人员因公出国（境）</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w:t>
            </w:r>
            <w:r>
              <w:rPr>
                <w:rFonts w:hint="eastAsia"/>
              </w:rPr>
              <w:t>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rPr>
                <w:rFonts w:hint="eastAsia"/>
              </w:rPr>
              <w:t>二、公务用车购置及运维费</w:t>
            </w:r>
          </w:p>
        </w:tc>
        <w:tc>
          <w:tcPr>
            <w:tcW w:w="2381" w:type="dxa"/>
            <w:vAlign w:val="center"/>
          </w:tcPr>
          <w:p>
            <w:pPr>
              <w:pStyle w:val="15"/>
            </w:pPr>
            <w:r>
              <w:t>49.70</w:t>
            </w:r>
          </w:p>
        </w:tc>
        <w:tc>
          <w:tcPr>
            <w:tcW w:w="2381" w:type="dxa"/>
            <w:vAlign w:val="center"/>
          </w:tcPr>
          <w:p>
            <w:pPr>
              <w:pStyle w:val="15"/>
            </w:pPr>
            <w:r>
              <w:t>49.70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 xml:space="preserve">    </w:t>
            </w:r>
            <w:r>
              <w:rPr>
                <w:rFonts w:hint="eastAsia"/>
              </w:rPr>
              <w:t>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w:t>
            </w:r>
            <w:r>
              <w:rPr>
                <w:rFonts w:hint="eastAsia"/>
              </w:rPr>
              <w:t>公务用车运行维护费</w:t>
            </w:r>
          </w:p>
        </w:tc>
        <w:tc>
          <w:tcPr>
            <w:tcW w:w="2381" w:type="dxa"/>
            <w:vAlign w:val="center"/>
          </w:tcPr>
          <w:p>
            <w:pPr>
              <w:pStyle w:val="15"/>
            </w:pPr>
            <w:r>
              <w:t>49.70</w:t>
            </w:r>
          </w:p>
        </w:tc>
        <w:tc>
          <w:tcPr>
            <w:tcW w:w="2381" w:type="dxa"/>
            <w:vAlign w:val="center"/>
          </w:tcPr>
          <w:p>
            <w:pPr>
              <w:pStyle w:val="15"/>
            </w:pPr>
            <w:r>
              <w:t>49.70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rPr>
                <w:rFonts w:hint="eastAsia"/>
              </w:rPr>
              <w:t>三、公务接待费</w:t>
            </w:r>
          </w:p>
        </w:tc>
        <w:tc>
          <w:tcPr>
            <w:tcW w:w="2381" w:type="dxa"/>
            <w:vAlign w:val="center"/>
          </w:tcPr>
          <w:p>
            <w:pPr>
              <w:pStyle w:val="15"/>
            </w:pPr>
            <w:r>
              <w:t>15.00</w:t>
            </w:r>
          </w:p>
        </w:tc>
        <w:tc>
          <w:tcPr>
            <w:tcW w:w="2381" w:type="dxa"/>
            <w:vAlign w:val="center"/>
          </w:tcPr>
          <w:p>
            <w:pPr>
              <w:pStyle w:val="15"/>
            </w:pPr>
            <w:r>
              <w:t>15.00</w:t>
            </w:r>
          </w:p>
        </w:tc>
        <w:tc>
          <w:tcPr>
            <w:tcW w:w="2381" w:type="dxa"/>
            <w:vAlign w:val="center"/>
          </w:tcPr>
          <w:p>
            <w:pPr>
              <w:pStyle w:val="15"/>
            </w:pPr>
          </w:p>
        </w:tc>
        <w:tc>
          <w:tcPr>
            <w:tcW w:w="2381" w:type="dxa"/>
            <w:vAlign w:val="center"/>
          </w:tcPr>
          <w:p>
            <w:pPr>
              <w:pStyle w:val="15"/>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中共丰宁满族自治县纪委</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中共丰宁满族自治县纪委</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按照《预算法》、《地方预决算公开操作规程》和《关于进一步推进预算公开工作的实施意见》规定，现将中共丰宁满族自治县纪委</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21"/>
      </w:pPr>
      <w:r>
        <w:rPr>
          <w:rFonts w:hint="eastAsia"/>
        </w:rPr>
        <w:t>县纪委监委的主要职责是：</w:t>
      </w:r>
    </w:p>
    <w:p>
      <w:pPr>
        <w:pStyle w:val="21"/>
      </w:pPr>
      <w:r>
        <w:rPr>
          <w:rFonts w:hint="eastAsia"/>
        </w:rPr>
        <w:t>（一）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pStyle w:val="21"/>
      </w:pPr>
      <w:r>
        <w:rPr>
          <w:rFonts w:hint="eastAsia"/>
        </w:rPr>
        <w:t>（二）依照党的章程和其他党内法规履行监督、执纪、问责职责。负责经常对党员进行遵守纪律的教育，作出关于维护党纪的决定；对县委工作机关、县委批准设立的党委（党组），各乡镇（街道、开发区）党委（党工委）、纪委（纪工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1"/>
      </w:pPr>
      <w:r>
        <w:rPr>
          <w:rFonts w:hint="eastAsia"/>
        </w:rPr>
        <w:t>（三）支持配合巡视巡察工作。承担巡视巡察整改日常监督责任，做好巡视巡察整改督查督办工作，依规依纪依法处置巡视巡察移交的反映领导干部问题线索。</w:t>
      </w:r>
    </w:p>
    <w:p>
      <w:pPr>
        <w:pStyle w:val="21"/>
      </w:pPr>
      <w:r>
        <w:rPr>
          <w:rFonts w:hint="eastAsia"/>
        </w:rPr>
        <w:t>（四）负责全县监察工作。贯彻落实党中央和省委、市委、县委关于监察工作的决策部署，维护宪法法律，依法对县委管理的行使公权力的公职人员进行监察，调查职务违法和职务犯罪，开展廉政建设和反腐败工作。</w:t>
      </w:r>
    </w:p>
    <w:p>
      <w:pPr>
        <w:pStyle w:val="21"/>
      </w:pPr>
      <w:r>
        <w:rPr>
          <w:rFonts w:hint="eastAsia"/>
        </w:rP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pStyle w:val="21"/>
      </w:pPr>
      <w:r>
        <w:rPr>
          <w:rFonts w:hint="eastAsia"/>
        </w:rPr>
        <w:t>（六）负责组织协调全面从严治党、党风廉政建设和反腐败宣传教育工作。</w:t>
      </w:r>
    </w:p>
    <w:p>
      <w:pPr>
        <w:pStyle w:val="21"/>
      </w:pPr>
      <w:r>
        <w:rPr>
          <w:rFonts w:hint="eastAsia"/>
        </w:rPr>
        <w:t>（七）负责综合分析全面从严治党、党风廉政建设和反腐败工作情况，对纪检监察工作重要理论及实践问题进行调查研究；制定或者修改全县纪检监察法规制度，参与起草有关法律、法规和规范性文件。</w:t>
      </w:r>
    </w:p>
    <w:p>
      <w:pPr>
        <w:pStyle w:val="21"/>
      </w:pPr>
      <w:r>
        <w:rPr>
          <w:rFonts w:hint="eastAsia"/>
        </w:rPr>
        <w:t>（八）负责组织协调全县反腐败追逃追赃和防逃工作，督促有关单位做好相关工作。</w:t>
      </w:r>
    </w:p>
    <w:p>
      <w:pPr>
        <w:pStyle w:val="21"/>
      </w:pPr>
      <w:r>
        <w:rPr>
          <w:rFonts w:hint="eastAsia"/>
        </w:rPr>
        <w:t>（九）根据干部管理权限，负责全县纪检监察系统领导班子建设、干部队伍建设和组织建设的综合规划、政策研究、制度建设和业务指导；会同有关方面做好县委巡察机构、乡镇纪检监察机构干部队伍建设有关工作；组织和指导全县纪检监察系统干部教育培训工作等。</w:t>
      </w:r>
    </w:p>
    <w:p>
      <w:pPr>
        <w:pStyle w:val="21"/>
      </w:pPr>
      <w:r>
        <w:rPr>
          <w:rFonts w:hint="eastAsia"/>
        </w:rPr>
        <w:t>（十）完成市纪委监委、县委交办的其他任务。</w:t>
      </w:r>
    </w:p>
    <w:p>
      <w:pPr>
        <w:pStyle w:val="21"/>
      </w:pP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rPr>
                <w:rFonts w:hint="eastAsia"/>
              </w:rPr>
              <w:t>单位名称</w:t>
            </w:r>
          </w:p>
        </w:tc>
        <w:tc>
          <w:tcPr>
            <w:tcW w:w="1843" w:type="dxa"/>
            <w:vAlign w:val="center"/>
          </w:tcPr>
          <w:p>
            <w:pPr>
              <w:pStyle w:val="14"/>
            </w:pPr>
            <w:r>
              <w:rPr>
                <w:rFonts w:hint="eastAsia"/>
              </w:rPr>
              <w:t>单位性质</w:t>
            </w:r>
          </w:p>
        </w:tc>
        <w:tc>
          <w:tcPr>
            <w:tcW w:w="2126" w:type="dxa"/>
            <w:vAlign w:val="center"/>
          </w:tcPr>
          <w:p>
            <w:pPr>
              <w:pStyle w:val="14"/>
            </w:pPr>
            <w:r>
              <w:rPr>
                <w:rFonts w:hint="eastAsia"/>
              </w:rPr>
              <w:t>单位规格</w:t>
            </w:r>
          </w:p>
        </w:tc>
        <w:tc>
          <w:tcPr>
            <w:tcW w:w="3827" w:type="dxa"/>
            <w:vAlign w:val="center"/>
          </w:tcPr>
          <w:p>
            <w:pPr>
              <w:pStyle w:val="14"/>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rPr>
                <w:rFonts w:hint="eastAsia"/>
              </w:rPr>
              <w:t>中共丰宁满族自治县纪委本级</w:t>
            </w:r>
          </w:p>
        </w:tc>
        <w:tc>
          <w:tcPr>
            <w:tcW w:w="1843" w:type="dxa"/>
            <w:vAlign w:val="center"/>
          </w:tcPr>
          <w:p>
            <w:pPr>
              <w:pStyle w:val="17"/>
            </w:pPr>
            <w:r>
              <w:rPr>
                <w:rFonts w:hint="eastAsia"/>
              </w:rPr>
              <w:t>行政</w:t>
            </w:r>
          </w:p>
        </w:tc>
        <w:tc>
          <w:tcPr>
            <w:tcW w:w="2126" w:type="dxa"/>
            <w:vAlign w:val="center"/>
          </w:tcPr>
          <w:p>
            <w:pPr>
              <w:pStyle w:val="17"/>
            </w:pPr>
            <w:r>
              <w:rPr>
                <w:rFonts w:hint="eastAsia"/>
              </w:rPr>
              <w:t>副处（县）级</w:t>
            </w:r>
          </w:p>
        </w:tc>
        <w:tc>
          <w:tcPr>
            <w:tcW w:w="3827" w:type="dxa"/>
            <w:vAlign w:val="center"/>
          </w:tcPr>
          <w:p>
            <w:pPr>
              <w:pStyle w:val="17"/>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按照预算管理有关规定，目前我省部门预算的编制实行综合预算管理，即全部收入和支出都反映在预算中。中共丰宁满族自治县纪委机关及所属事业单位的收支包含在部门预算中。</w:t>
      </w:r>
    </w:p>
    <w:p>
      <w:pPr>
        <w:pStyle w:val="22"/>
      </w:pPr>
      <w:r>
        <w:rPr>
          <w:rFonts w:hint="eastAsia"/>
        </w:rPr>
        <w:t>（一）收入说明</w:t>
      </w:r>
    </w:p>
    <w:p>
      <w:pPr>
        <w:pStyle w:val="22"/>
      </w:pPr>
      <w:r>
        <w:rPr>
          <w:rFonts w:hint="eastAsia"/>
        </w:rPr>
        <w:t>反映本部门当年全部收入。</w:t>
      </w:r>
      <w:r>
        <w:t>2022</w:t>
      </w:r>
      <w:r>
        <w:rPr>
          <w:rFonts w:hint="eastAsia"/>
        </w:rPr>
        <w:t>年预算收入</w:t>
      </w:r>
      <w:r>
        <w:t>845.85</w:t>
      </w:r>
      <w:r>
        <w:rPr>
          <w:rFonts w:hint="eastAsia"/>
        </w:rPr>
        <w:t>万元，其中：一般公共预算收入</w:t>
      </w:r>
      <w:r>
        <w:t>845.85</w:t>
      </w:r>
      <w:r>
        <w:rPr>
          <w:rFonts w:hint="eastAsia"/>
        </w:rPr>
        <w:t>万元。</w:t>
      </w:r>
    </w:p>
    <w:p>
      <w:pPr>
        <w:pStyle w:val="22"/>
      </w:pPr>
      <w:r>
        <w:rPr>
          <w:rFonts w:hint="eastAsia"/>
        </w:rPr>
        <w:t>（二）支出说明</w:t>
      </w:r>
    </w:p>
    <w:p>
      <w:pPr>
        <w:pStyle w:val="22"/>
      </w:pPr>
      <w:r>
        <w:t>2022</w:t>
      </w:r>
      <w:r>
        <w:rPr>
          <w:rFonts w:hint="eastAsia"/>
        </w:rPr>
        <w:t>年支出预算</w:t>
      </w:r>
      <w:r>
        <w:t>845.85</w:t>
      </w:r>
      <w:r>
        <w:rPr>
          <w:rFonts w:hint="eastAsia"/>
        </w:rPr>
        <w:t>万元，其中基本支出</w:t>
      </w:r>
      <w:r>
        <w:t>720.84</w:t>
      </w:r>
      <w:r>
        <w:rPr>
          <w:rFonts w:hint="eastAsia"/>
        </w:rPr>
        <w:t>万元，包括人员经费</w:t>
      </w:r>
      <w:r>
        <w:t>618.78</w:t>
      </w:r>
      <w:r>
        <w:rPr>
          <w:rFonts w:hint="eastAsia"/>
        </w:rPr>
        <w:t>万元和日常公用经费</w:t>
      </w:r>
      <w:r>
        <w:t>102.06</w:t>
      </w:r>
      <w:r>
        <w:rPr>
          <w:rFonts w:hint="eastAsia"/>
        </w:rPr>
        <w:t>万元；项目支出</w:t>
      </w:r>
      <w:r>
        <w:t>125.00</w:t>
      </w:r>
      <w:r>
        <w:rPr>
          <w:rFonts w:hint="eastAsia"/>
        </w:rPr>
        <w:t>万元，其中本级支出</w:t>
      </w:r>
      <w:r>
        <w:t>125.00</w:t>
      </w:r>
      <w:r>
        <w:rPr>
          <w:rFonts w:hint="eastAsia"/>
        </w:rPr>
        <w:t>万元</w:t>
      </w:r>
      <w:r>
        <w:t>,</w:t>
      </w:r>
      <w:r>
        <w:rPr>
          <w:rFonts w:hint="eastAsia"/>
        </w:rPr>
        <w:t>主要为纪委和监察委大要案经费。</w:t>
      </w:r>
    </w:p>
    <w:p>
      <w:pPr>
        <w:pStyle w:val="22"/>
      </w:pPr>
      <w:r>
        <w:rPr>
          <w:rFonts w:hint="eastAsia"/>
        </w:rPr>
        <w:t>（三）比上年增减情况</w:t>
      </w:r>
    </w:p>
    <w:p>
      <w:pPr>
        <w:pStyle w:val="22"/>
      </w:pPr>
      <w:r>
        <w:t>2022</w:t>
      </w:r>
      <w:r>
        <w:rPr>
          <w:rFonts w:hint="eastAsia"/>
        </w:rPr>
        <w:t>年预算收支安排</w:t>
      </w:r>
      <w:r>
        <w:t>845.85</w:t>
      </w:r>
      <w:r>
        <w:rPr>
          <w:rFonts w:hint="eastAsia"/>
        </w:rPr>
        <w:t>万元，较</w:t>
      </w:r>
      <w:r>
        <w:t>2021</w:t>
      </w:r>
      <w:r>
        <w:rPr>
          <w:rFonts w:hint="eastAsia"/>
        </w:rPr>
        <w:t>年预算减少</w:t>
      </w:r>
      <w:r>
        <w:t>367.14</w:t>
      </w:r>
      <w:r>
        <w:rPr>
          <w:rFonts w:hint="eastAsia"/>
        </w:rPr>
        <w:t>万元，其中：基本支出减少减少</w:t>
      </w:r>
      <w:r>
        <w:t>241.37</w:t>
      </w:r>
      <w:r>
        <w:rPr>
          <w:rFonts w:hint="eastAsia"/>
        </w:rPr>
        <w:t>万元，主要为公用经费减少支出；项目支公较</w:t>
      </w:r>
      <w:r>
        <w:t>2021</w:t>
      </w:r>
      <w:r>
        <w:rPr>
          <w:rFonts w:hint="eastAsia"/>
        </w:rPr>
        <w:t>年实际安排减少</w:t>
      </w:r>
      <w:r>
        <w:t>125.78</w:t>
      </w:r>
      <w:r>
        <w:rPr>
          <w:rFonts w:hint="eastAsia"/>
        </w:rPr>
        <w:t>万元，主要用于减少监察体制改革工作经费。</w:t>
      </w:r>
    </w:p>
    <w:p>
      <w:pPr>
        <w:pStyle w:val="22"/>
      </w:pPr>
    </w:p>
    <w:p>
      <w:pPr>
        <w:pStyle w:val="22"/>
      </w:pPr>
      <w:r>
        <w:rPr>
          <w:rFonts w:hint="eastAsia"/>
        </w:rPr>
        <w:t>（二）支出说明</w:t>
      </w:r>
    </w:p>
    <w:p>
      <w:pPr>
        <w:pStyle w:val="22"/>
        <w:ind w:firstLine="932" w:firstLineChars="333"/>
      </w:pPr>
      <w:r>
        <w:t>2022</w:t>
      </w:r>
      <w:r>
        <w:rPr>
          <w:rFonts w:hint="eastAsia"/>
        </w:rPr>
        <w:t>年支出预算</w:t>
      </w:r>
      <w:r>
        <w:t>845.85</w:t>
      </w:r>
      <w:r>
        <w:rPr>
          <w:rFonts w:hint="eastAsia"/>
        </w:rPr>
        <w:t>万元，其中基本支出</w:t>
      </w:r>
      <w:r>
        <w:t>720.84</w:t>
      </w:r>
      <w:r>
        <w:rPr>
          <w:rFonts w:hint="eastAsia"/>
        </w:rPr>
        <w:t>万元，包括人员经费</w:t>
      </w:r>
      <w:r>
        <w:t>618.78</w:t>
      </w:r>
      <w:r>
        <w:rPr>
          <w:rFonts w:hint="eastAsia"/>
        </w:rPr>
        <w:t>万元和日常公用经费</w:t>
      </w:r>
      <w:r>
        <w:t>102.06</w:t>
      </w:r>
      <w:r>
        <w:rPr>
          <w:rFonts w:hint="eastAsia"/>
        </w:rPr>
        <w:t>万元；项目支出</w:t>
      </w:r>
      <w:r>
        <w:t>125</w:t>
      </w:r>
      <w:r>
        <w:rPr>
          <w:rFonts w:hint="eastAsia"/>
        </w:rPr>
        <w:t>万元，其中本级支出</w:t>
      </w:r>
      <w:r>
        <w:t>845.85</w:t>
      </w:r>
      <w:r>
        <w:rPr>
          <w:rFonts w:hint="eastAsia"/>
        </w:rPr>
        <w:t>万元，主要为纪委和监察委大要案经费。</w:t>
      </w:r>
    </w:p>
    <w:p>
      <w:pPr>
        <w:pStyle w:val="22"/>
      </w:pPr>
      <w:r>
        <w:rPr>
          <w:rFonts w:hint="eastAsia"/>
        </w:rPr>
        <w:t>（三）比上年增减情况</w:t>
      </w:r>
    </w:p>
    <w:p>
      <w:pPr>
        <w:pStyle w:val="22"/>
      </w:pPr>
      <w:r>
        <w:t>2022</w:t>
      </w:r>
      <w:r>
        <w:rPr>
          <w:rFonts w:hint="eastAsia"/>
        </w:rPr>
        <w:t>年预算收支安排</w:t>
      </w:r>
      <w:r>
        <w:t>845.85</w:t>
      </w:r>
      <w:r>
        <w:rPr>
          <w:rFonts w:hint="eastAsia"/>
        </w:rPr>
        <w:t>万元，较</w:t>
      </w:r>
      <w:r>
        <w:t>2021</w:t>
      </w:r>
      <w:r>
        <w:rPr>
          <w:rFonts w:hint="eastAsia"/>
        </w:rPr>
        <w:t>年预算减少</w:t>
      </w:r>
      <w:r>
        <w:t>367.14</w:t>
      </w:r>
      <w:r>
        <w:rPr>
          <w:rFonts w:hint="eastAsia"/>
        </w:rPr>
        <w:t>万元，其中：基本支出减少</w:t>
      </w:r>
      <w:r>
        <w:t>241.37</w:t>
      </w:r>
      <w:r>
        <w:rPr>
          <w:rFonts w:hint="eastAsia"/>
        </w:rPr>
        <w:t>万元，主要为减少项目公用支出；项目支出较</w:t>
      </w:r>
      <w:r>
        <w:t>2021</w:t>
      </w:r>
      <w:r>
        <w:rPr>
          <w:rFonts w:hint="eastAsia"/>
        </w:rPr>
        <w:t>年实际安排减少</w:t>
      </w:r>
      <w:r>
        <w:t>125.78</w:t>
      </w:r>
      <w:r>
        <w:rPr>
          <w:rFonts w:hint="eastAsia"/>
        </w:rPr>
        <w:t>万元，主要用于减少监察体制改革工作经费。</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2"/>
      </w:pPr>
      <w:r>
        <w:t>2022</w:t>
      </w:r>
      <w:r>
        <w:rPr>
          <w:rFonts w:hint="eastAsia"/>
        </w:rPr>
        <w:t>年，我</w:t>
      </w:r>
      <w:r>
        <w:rPr>
          <w:rFonts w:hint="eastAsia"/>
          <w:lang w:eastAsia="zh-CN"/>
        </w:rPr>
        <w:t>部门</w:t>
      </w:r>
      <w:r>
        <w:rPr>
          <w:rFonts w:hint="eastAsia"/>
        </w:rPr>
        <w:t>机关运行经费共计安排</w:t>
      </w:r>
      <w:r>
        <w:t>102.06</w:t>
      </w:r>
      <w:r>
        <w:rPr>
          <w:rFonts w:hint="eastAsia"/>
        </w:rPr>
        <w:t>万元，主要用于办公费</w:t>
      </w:r>
      <w:r>
        <w:t>10</w:t>
      </w:r>
      <w:r>
        <w:rPr>
          <w:rFonts w:hint="eastAsia"/>
        </w:rPr>
        <w:t>万元、工会经费</w:t>
      </w:r>
      <w:r>
        <w:t>4.75</w:t>
      </w:r>
      <w:r>
        <w:rPr>
          <w:rFonts w:hint="eastAsia"/>
        </w:rPr>
        <w:t>万元、福利费</w:t>
      </w:r>
      <w:r>
        <w:t>7.22</w:t>
      </w:r>
      <w:r>
        <w:rPr>
          <w:rFonts w:hint="eastAsia"/>
        </w:rPr>
        <w:t>万元、公务用车运行维护费</w:t>
      </w:r>
      <w:r>
        <w:t>15.3</w:t>
      </w:r>
      <w:r>
        <w:rPr>
          <w:rFonts w:hint="eastAsia"/>
        </w:rPr>
        <w:t>万元。</w:t>
      </w:r>
    </w:p>
    <w:p>
      <w:pPr>
        <w:pStyle w:val="23"/>
      </w:pPr>
    </w:p>
    <w:p>
      <w:pPr>
        <w:spacing w:line="500" w:lineRule="exact"/>
        <w:ind w:firstLine="640" w:firstLineChars="200"/>
        <w:rPr>
          <w:rFonts w:hint="default" w:ascii="Times New Roman" w:hAnsi="Times New Roman" w:eastAsia="仿宋" w:cs="Times New Roman"/>
          <w:b/>
          <w:bCs/>
          <w:color w:val="FF0000"/>
          <w:sz w:val="32"/>
          <w:szCs w:val="32"/>
        </w:rPr>
      </w:pPr>
      <w:bookmarkStart w:id="12" w:name="_Toc_3_3_0000000013"/>
      <w:r>
        <w:rPr>
          <w:rFonts w:hint="eastAsia" w:ascii="黑体" w:hAnsi="黑体" w:eastAsia="黑体" w:cs="黑体"/>
          <w:color w:val="000000"/>
          <w:sz w:val="32"/>
        </w:rPr>
        <w:t>四、财政拨款“三公”经费预算情况及增减变化原因</w:t>
      </w:r>
      <w:bookmarkEnd w:id="12"/>
    </w:p>
    <w:p>
      <w:pPr>
        <w:spacing w:before="10" w:after="10" w:line="360" w:lineRule="auto"/>
        <w:ind w:firstLine="640"/>
        <w:outlineLvl w:val="2"/>
      </w:pPr>
    </w:p>
    <w:p>
      <w:pPr>
        <w:pStyle w:val="22"/>
      </w:pPr>
      <w:r>
        <w:t>2022</w:t>
      </w:r>
      <w:r>
        <w:rPr>
          <w:rFonts w:hint="eastAsia"/>
        </w:rPr>
        <w:t>年</w:t>
      </w:r>
      <w:r>
        <w:rPr>
          <w:rFonts w:hint="default" w:ascii="Times New Roman" w:hAnsi="Times New Roman" w:eastAsia="仿宋" w:cs="Times New Roman"/>
          <w:color w:val="000000" w:themeColor="text1"/>
          <w:sz w:val="32"/>
          <w:szCs w:val="32"/>
        </w:rPr>
        <w:t xml:space="preserve"> </w:t>
      </w:r>
      <w:r>
        <w:rPr>
          <w:rFonts w:hint="eastAsia" w:eastAsia="仿宋" w:cs="Times New Roman"/>
          <w:color w:val="000000" w:themeColor="text1"/>
          <w:sz w:val="32"/>
          <w:szCs w:val="32"/>
          <w:lang w:eastAsia="zh-CN"/>
        </w:rPr>
        <w:t>我部门</w:t>
      </w:r>
      <w:r>
        <w:rPr>
          <w:rFonts w:hint="default" w:ascii="Times New Roman" w:hAnsi="Times New Roman" w:eastAsia="仿宋" w:cs="Times New Roman"/>
          <w:color w:val="000000" w:themeColor="text1"/>
          <w:sz w:val="32"/>
          <w:szCs w:val="32"/>
        </w:rPr>
        <w:t>“三公”经费公共预算财政拨款预算</w:t>
      </w:r>
      <w:r>
        <w:rPr>
          <w:rFonts w:hint="eastAsia" w:eastAsia="仿宋" w:cs="Times New Roman"/>
          <w:color w:val="000000" w:themeColor="text1"/>
          <w:sz w:val="32"/>
          <w:szCs w:val="32"/>
          <w:lang w:val="en-US" w:eastAsia="zh-CN"/>
        </w:rPr>
        <w:t>64.7</w:t>
      </w:r>
      <w:r>
        <w:rPr>
          <w:rFonts w:hint="default" w:ascii="Times New Roman" w:hAnsi="Times New Roman" w:eastAsia="仿宋" w:cs="Times New Roman"/>
          <w:color w:val="000000" w:themeColor="text1"/>
          <w:sz w:val="32"/>
          <w:szCs w:val="32"/>
        </w:rPr>
        <w:t>万元，比上年减少</w:t>
      </w:r>
      <w:r>
        <w:t xml:space="preserve"> 1</w:t>
      </w:r>
      <w:r>
        <w:rPr>
          <w:rFonts w:hint="eastAsia"/>
          <w:lang w:val="en-US" w:eastAsia="zh-CN"/>
        </w:rPr>
        <w:t>.3</w:t>
      </w:r>
      <w:r>
        <w:rPr>
          <w:rFonts w:hint="eastAsia"/>
        </w:rPr>
        <w:t>万元</w:t>
      </w:r>
      <w:r>
        <w:rPr>
          <w:rFonts w:hint="eastAsia"/>
          <w:lang w:eastAsia="zh-CN"/>
        </w:rPr>
        <w:t>，</w:t>
      </w:r>
      <w:r>
        <w:rPr>
          <w:rFonts w:hint="eastAsia"/>
        </w:rPr>
        <w:t>同比下降</w:t>
      </w:r>
      <w:r>
        <w:t>1.</w:t>
      </w:r>
      <w:r>
        <w:rPr>
          <w:rFonts w:hint="eastAsia"/>
          <w:lang w:val="en-US" w:eastAsia="zh-CN"/>
        </w:rPr>
        <w:t>97</w:t>
      </w:r>
      <w:r>
        <w:t>%</w:t>
      </w:r>
      <w:r>
        <w:rPr>
          <w:rFonts w:hint="eastAsia"/>
        </w:rPr>
        <w:t>。我部门三公经费变动主要原因分别是：节约成本，减少开支。</w:t>
      </w:r>
    </w:p>
    <w:p>
      <w:pPr>
        <w:pStyle w:val="22"/>
      </w:pPr>
    </w:p>
    <w:p>
      <w:pPr>
        <w:pStyle w:val="22"/>
      </w:pPr>
      <w:r>
        <w:rPr>
          <w:rFonts w:hint="eastAsia"/>
        </w:rPr>
        <w:t>具体支出情况如下：</w:t>
      </w:r>
    </w:p>
    <w:p>
      <w:pPr>
        <w:pStyle w:val="22"/>
        <w:ind w:left="0" w:leftChars="0" w:firstLine="560" w:firstLineChars="200"/>
        <w:rPr>
          <w:rFonts w:hint="default" w:eastAsia="方正仿宋_GBK"/>
          <w:lang w:val="en-US" w:eastAsia="zh-CN"/>
        </w:rPr>
      </w:pPr>
      <w:r>
        <w:rPr>
          <w:rFonts w:hint="eastAsia"/>
        </w:rPr>
        <w:t>（一）</w:t>
      </w:r>
      <w:r>
        <w:rPr>
          <w:rFonts w:hint="eastAsia"/>
          <w:lang w:eastAsia="zh-CN"/>
        </w:rPr>
        <w:t>因公出国境费</w:t>
      </w:r>
      <w:r>
        <w:rPr>
          <w:rFonts w:hint="eastAsia"/>
          <w:lang w:val="en-US" w:eastAsia="zh-CN"/>
        </w:rPr>
        <w:t>0万元，同比无增减变化。</w:t>
      </w:r>
    </w:p>
    <w:p>
      <w:pPr>
        <w:pStyle w:val="22"/>
      </w:pPr>
      <w:r>
        <w:rPr>
          <w:rFonts w:hint="eastAsia" w:eastAsia="仿宋" w:cs="Times New Roman"/>
          <w:color w:val="000000" w:themeColor="text1"/>
          <w:sz w:val="32"/>
          <w:szCs w:val="32"/>
          <w:lang w:val="en-US" w:eastAsia="zh-CN"/>
        </w:rPr>
        <w:t>(二)</w:t>
      </w:r>
      <w:r>
        <w:rPr>
          <w:rFonts w:hint="eastAsia"/>
        </w:rPr>
        <w:t>公务用车购置及运行维护费</w:t>
      </w:r>
      <w:r>
        <w:rPr>
          <w:rFonts w:hint="eastAsia"/>
          <w:lang w:val="en-US" w:eastAsia="zh-CN"/>
        </w:rPr>
        <w:t>49.7</w:t>
      </w:r>
      <w:r>
        <w:rPr>
          <w:rFonts w:hint="eastAsia"/>
        </w:rPr>
        <w:t>万元，同比</w:t>
      </w:r>
      <w:r>
        <w:rPr>
          <w:rFonts w:hint="eastAsia"/>
          <w:lang w:eastAsia="zh-CN"/>
        </w:rPr>
        <w:t>增加</w:t>
      </w:r>
      <w:r>
        <w:rPr>
          <w:rFonts w:hint="eastAsia"/>
          <w:lang w:val="en-US" w:eastAsia="zh-CN"/>
        </w:rPr>
        <w:t>3.7</w:t>
      </w:r>
      <w:r>
        <w:rPr>
          <w:rFonts w:hint="eastAsia"/>
        </w:rPr>
        <w:t>万元，同比</w:t>
      </w:r>
      <w:r>
        <w:rPr>
          <w:rFonts w:hint="eastAsia"/>
          <w:lang w:eastAsia="zh-CN"/>
        </w:rPr>
        <w:t>增加</w:t>
      </w:r>
      <w:r>
        <w:rPr>
          <w:rFonts w:hint="eastAsia"/>
          <w:lang w:val="en-US" w:eastAsia="zh-CN"/>
        </w:rPr>
        <w:t>8.04</w:t>
      </w:r>
      <w:r>
        <w:t>%</w:t>
      </w:r>
      <w:r>
        <w:rPr>
          <w:rFonts w:hint="eastAsia"/>
        </w:rPr>
        <w:t>。</w:t>
      </w:r>
    </w:p>
    <w:p>
      <w:pPr>
        <w:pStyle w:val="22"/>
        <w:rPr>
          <w:rFonts w:hint="default" w:eastAsia="方正仿宋_GBK"/>
          <w:lang w:val="en-US" w:eastAsia="zh-CN"/>
        </w:rPr>
      </w:pPr>
      <w:r>
        <w:rPr>
          <w:rFonts w:hint="eastAsia"/>
        </w:rPr>
        <w:t>（</w:t>
      </w:r>
      <w:r>
        <w:t>1</w:t>
      </w:r>
      <w:r>
        <w:rPr>
          <w:rFonts w:hint="eastAsia"/>
        </w:rPr>
        <w:t>）</w:t>
      </w:r>
      <w:r>
        <w:rPr>
          <w:rFonts w:hint="eastAsia"/>
          <w:lang w:eastAsia="zh-CN"/>
        </w:rPr>
        <w:t>公务用车购置</w:t>
      </w:r>
      <w:r>
        <w:rPr>
          <w:rFonts w:hint="eastAsia"/>
          <w:lang w:val="en-US" w:eastAsia="zh-CN"/>
        </w:rPr>
        <w:t>0元，同比无增减变化。</w:t>
      </w:r>
    </w:p>
    <w:p>
      <w:pPr>
        <w:pStyle w:val="22"/>
        <w:rPr>
          <w:rFonts w:hint="eastAsia"/>
          <w:lang w:eastAsia="zh-CN"/>
        </w:rPr>
      </w:pPr>
      <w:r>
        <w:rPr>
          <w:rFonts w:hint="eastAsia"/>
          <w:lang w:eastAsia="zh-CN"/>
        </w:rPr>
        <w:t>（</w:t>
      </w:r>
      <w:r>
        <w:rPr>
          <w:rFonts w:hint="eastAsia"/>
          <w:lang w:val="en-US" w:eastAsia="zh-CN"/>
        </w:rPr>
        <w:t>2</w:t>
      </w:r>
      <w:r>
        <w:rPr>
          <w:rFonts w:hint="eastAsia"/>
          <w:lang w:eastAsia="zh-CN"/>
        </w:rPr>
        <w:t>）</w:t>
      </w:r>
      <w:r>
        <w:rPr>
          <w:rFonts w:hint="eastAsia"/>
        </w:rPr>
        <w:t>公务用车运行维护费</w:t>
      </w:r>
      <w:r>
        <w:rPr>
          <w:rFonts w:hint="eastAsia"/>
          <w:lang w:val="en-US" w:eastAsia="zh-CN"/>
        </w:rPr>
        <w:t>49.7</w:t>
      </w:r>
      <w:r>
        <w:rPr>
          <w:rFonts w:hint="eastAsia"/>
        </w:rPr>
        <w:t>万元，同比</w:t>
      </w:r>
      <w:r>
        <w:rPr>
          <w:rFonts w:hint="eastAsia"/>
          <w:lang w:eastAsia="zh-CN"/>
        </w:rPr>
        <w:t>增加</w:t>
      </w:r>
      <w:r>
        <w:rPr>
          <w:rFonts w:hint="eastAsia"/>
          <w:lang w:val="en-US" w:eastAsia="zh-CN"/>
        </w:rPr>
        <w:t>3.7</w:t>
      </w:r>
      <w:r>
        <w:rPr>
          <w:rFonts w:hint="eastAsia"/>
        </w:rPr>
        <w:t>万元，同比</w:t>
      </w:r>
      <w:r>
        <w:rPr>
          <w:rFonts w:hint="eastAsia"/>
          <w:lang w:eastAsia="zh-CN"/>
        </w:rPr>
        <w:t>上升</w:t>
      </w:r>
      <w:r>
        <w:rPr>
          <w:rFonts w:hint="eastAsia"/>
          <w:lang w:val="en-US" w:eastAsia="zh-CN"/>
        </w:rPr>
        <w:t>8.04</w:t>
      </w:r>
      <w:r>
        <w:t>%</w:t>
      </w:r>
      <w:r>
        <w:rPr>
          <w:rFonts w:hint="eastAsia"/>
        </w:rPr>
        <w:t>。减少的主要原因是：</w:t>
      </w:r>
      <w:r>
        <w:rPr>
          <w:rFonts w:hint="eastAsia"/>
          <w:lang w:eastAsia="zh-CN"/>
        </w:rPr>
        <w:t>公务用车数量增加。</w:t>
      </w:r>
    </w:p>
    <w:p>
      <w:pPr>
        <w:pStyle w:val="22"/>
      </w:pPr>
      <w:r>
        <w:rPr>
          <w:rFonts w:hint="eastAsia" w:eastAsia="仿宋" w:cs="Times New Roman"/>
          <w:color w:val="000000" w:themeColor="text1"/>
          <w:sz w:val="32"/>
          <w:szCs w:val="32"/>
          <w:lang w:val="en-US" w:eastAsia="zh-CN"/>
        </w:rPr>
        <w:t>(三)</w:t>
      </w:r>
      <w:r>
        <w:rPr>
          <w:rFonts w:hint="default" w:ascii="Times New Roman" w:hAnsi="Times New Roman" w:eastAsia="仿宋" w:cs="Times New Roman"/>
          <w:color w:val="000000" w:themeColor="text1"/>
          <w:sz w:val="32"/>
          <w:szCs w:val="32"/>
        </w:rPr>
        <w:t>公务接待费</w:t>
      </w:r>
      <w:r>
        <w:rPr>
          <w:rFonts w:hint="eastAsia" w:eastAsia="仿宋" w:cs="Times New Roman"/>
          <w:color w:val="000000" w:themeColor="text1"/>
          <w:sz w:val="32"/>
          <w:szCs w:val="32"/>
          <w:lang w:val="en-US" w:eastAsia="zh-CN"/>
        </w:rPr>
        <w:t>15</w:t>
      </w:r>
      <w:r>
        <w:rPr>
          <w:rFonts w:hint="default" w:ascii="Times New Roman" w:hAnsi="Times New Roman" w:eastAsia="仿宋" w:cs="Times New Roman"/>
          <w:color w:val="000000" w:themeColor="text1"/>
          <w:sz w:val="32"/>
          <w:szCs w:val="32"/>
        </w:rPr>
        <w:t>万元，同比减少</w:t>
      </w:r>
      <w:r>
        <w:rPr>
          <w:rFonts w:hint="eastAsia" w:eastAsia="仿宋" w:cs="Times New Roman"/>
          <w:color w:val="000000" w:themeColor="text1"/>
          <w:sz w:val="32"/>
          <w:szCs w:val="32"/>
          <w:lang w:val="en-US" w:eastAsia="zh-CN"/>
        </w:rPr>
        <w:t>5</w:t>
      </w:r>
      <w:r>
        <w:rPr>
          <w:rFonts w:hint="default" w:ascii="Times New Roman" w:hAnsi="Times New Roman" w:eastAsia="仿宋" w:cs="Times New Roman"/>
          <w:color w:val="000000" w:themeColor="text1"/>
          <w:sz w:val="32"/>
          <w:szCs w:val="32"/>
        </w:rPr>
        <w:t xml:space="preserve"> 万元，同比下降</w:t>
      </w:r>
      <w:r>
        <w:rPr>
          <w:rFonts w:hint="eastAsia" w:eastAsia="仿宋" w:cs="Times New Roman"/>
          <w:color w:val="000000" w:themeColor="text1"/>
          <w:sz w:val="32"/>
          <w:szCs w:val="32"/>
          <w:lang w:val="en-US" w:eastAsia="zh-CN"/>
        </w:rPr>
        <w:t>25</w:t>
      </w:r>
      <w:r>
        <w:rPr>
          <w:rFonts w:hint="default" w:ascii="Times New Roman" w:hAnsi="Times New Roman" w:eastAsia="仿宋" w:cs="Times New Roman"/>
          <w:color w:val="000000" w:themeColor="text1"/>
          <w:sz w:val="32"/>
          <w:szCs w:val="32"/>
        </w:rPr>
        <w:t xml:space="preserve"> %。减少的主要原因是：</w:t>
      </w:r>
      <w:r>
        <w:rPr>
          <w:rFonts w:hint="eastAsia"/>
        </w:rPr>
        <w:t>节约成本，减少开支。</w:t>
      </w:r>
    </w:p>
    <w:p>
      <w:pPr>
        <w:numPr>
          <w:ilvl w:val="0"/>
          <w:numId w:val="0"/>
        </w:numPr>
        <w:spacing w:line="500" w:lineRule="exact"/>
        <w:ind w:firstLine="640" w:firstLineChars="200"/>
        <w:rPr>
          <w:rFonts w:hint="default" w:ascii="Times New Roman" w:hAnsi="Times New Roman" w:eastAsia="仿宋" w:cs="Times New Roman"/>
          <w:color w:val="FF0000"/>
          <w:sz w:val="32"/>
          <w:szCs w:val="32"/>
        </w:rPr>
      </w:pPr>
    </w:p>
    <w:p>
      <w:pPr>
        <w:pStyle w:val="24"/>
      </w:pP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5"/>
        <w:ind w:left="0" w:leftChars="0" w:firstLine="560" w:firstLineChars="200"/>
      </w:pPr>
      <w:r>
        <w:rPr>
          <w:rFonts w:hint="eastAsia"/>
        </w:rPr>
        <w:t>一、年度绩效目标</w:t>
      </w:r>
    </w:p>
    <w:p>
      <w:pPr>
        <w:pStyle w:val="25"/>
      </w:pPr>
      <w:r>
        <w:rPr>
          <w:rFonts w:hint="eastAsia"/>
        </w:rPr>
        <w:t>总体目标：</w:t>
      </w:r>
    </w:p>
    <w:p>
      <w:pPr>
        <w:pStyle w:val="25"/>
      </w:pPr>
    </w:p>
    <w:p>
      <w:pPr>
        <w:pStyle w:val="25"/>
      </w:pPr>
      <w:r>
        <w:rPr>
          <w:rFonts w:hint="eastAsia"/>
        </w:rPr>
        <w:t>加大纪律审查工作力度，形成强大震慑，以案件查办的实际成效回应群众关切的问题，维护社会稳定，继续查处重点案件，强化案件警示教育和剖析整改，提高案件查办的政治、法纪和社会效果。加强纪律教育，从严监督执纪，努力营造守纪律、讲规矩的氛围。加强对党的纪律执行情况的监督检查。加强对中央关于厉行节俭、公车配备、公务接待、职务消费等规定执行情况的监督检查，坚决防止</w:t>
      </w:r>
      <w:r>
        <w:t>“</w:t>
      </w:r>
      <w:r>
        <w:rPr>
          <w:rFonts w:hint="eastAsia"/>
        </w:rPr>
        <w:t>四风</w:t>
      </w:r>
      <w:r>
        <w:t>”</w:t>
      </w:r>
      <w:r>
        <w:rPr>
          <w:rFonts w:hint="eastAsia"/>
        </w:rPr>
        <w:t>问题反弹。</w:t>
      </w:r>
    </w:p>
    <w:p>
      <w:pPr>
        <w:pStyle w:val="25"/>
      </w:pPr>
    </w:p>
    <w:p>
      <w:pPr>
        <w:pStyle w:val="25"/>
      </w:pPr>
    </w:p>
    <w:p>
      <w:pPr>
        <w:pStyle w:val="25"/>
      </w:pPr>
    </w:p>
    <w:p>
      <w:pPr>
        <w:pStyle w:val="25"/>
      </w:pPr>
    </w:p>
    <w:p>
      <w:pPr>
        <w:spacing w:line="500" w:lineRule="exact"/>
        <w:ind w:firstLine="560"/>
      </w:pPr>
      <w:r>
        <w:rPr>
          <w:rFonts w:hint="eastAsia" w:eastAsia="方正仿宋_GBK"/>
          <w:color w:val="000000"/>
          <w:sz w:val="28"/>
        </w:rPr>
        <w:t>（二）分项绩效目标</w:t>
      </w:r>
    </w:p>
    <w:p>
      <w:pPr>
        <w:pStyle w:val="26"/>
      </w:pPr>
    </w:p>
    <w:p>
      <w:pPr>
        <w:pStyle w:val="26"/>
      </w:pPr>
      <w:r>
        <w:rPr>
          <w:rFonts w:hint="eastAsia"/>
        </w:rPr>
        <w:t>职责分类绩效目标：</w:t>
      </w:r>
    </w:p>
    <w:p>
      <w:pPr>
        <w:pStyle w:val="26"/>
      </w:pPr>
      <w:r>
        <w:rPr>
          <w:rFonts w:hint="eastAsia"/>
        </w:rPr>
        <w:t>职责分类绩效目标：</w:t>
      </w:r>
    </w:p>
    <w:p>
      <w:pPr>
        <w:pStyle w:val="26"/>
      </w:pPr>
      <w:r>
        <w:rPr>
          <w:rFonts w:hint="eastAsia"/>
        </w:rPr>
        <w:t>一、办案问责</w:t>
      </w:r>
    </w:p>
    <w:p>
      <w:pPr>
        <w:pStyle w:val="26"/>
      </w:pPr>
      <w:r>
        <w:rPr>
          <w:rFonts w:hint="eastAsia"/>
        </w:rPr>
        <w:t>职责描述：受理信访、举报，集中管理问题线索、组织协调案件查办，调查、审查违纪违法案件，对案件审理提出处理意见。</w:t>
      </w:r>
    </w:p>
    <w:p>
      <w:pPr>
        <w:pStyle w:val="26"/>
      </w:pPr>
      <w:r>
        <w:rPr>
          <w:rFonts w:hint="eastAsia"/>
        </w:rPr>
        <w:t>绩效目标：对全县党员进行遵守纪律的教育，作出维护党纪的决定，检查和处理职权范围内党的组织和党员违反党的章程和其他党内法规的比较重要或复杂的案件、决定或取消对党员的处分。</w:t>
      </w:r>
    </w:p>
    <w:p>
      <w:pPr>
        <w:pStyle w:val="26"/>
      </w:pPr>
      <w:r>
        <w:rPr>
          <w:rFonts w:hint="eastAsia"/>
        </w:rPr>
        <w:t>二、监督检查</w:t>
      </w:r>
    </w:p>
    <w:p>
      <w:pPr>
        <w:pStyle w:val="26"/>
      </w:pPr>
      <w:r>
        <w:rPr>
          <w:rFonts w:hint="eastAsia"/>
        </w:rPr>
        <w:t>职责描述：开展监督检查，组织协调、检查指导纠正损害群众利益的不正之风；查处、督办违反党风政风规定的行为。</w:t>
      </w:r>
    </w:p>
    <w:p>
      <w:pPr>
        <w:pStyle w:val="26"/>
      </w:pPr>
      <w:r>
        <w:rPr>
          <w:rFonts w:hint="eastAsia"/>
        </w:rPr>
        <w:t>绩效目标：对公职人员开展廉政教育，对其依法履职、秉公用权、廉洁从政以及道德操守情况进行监督监察；对涉嫌贪污贿赂、滥用职权、玩忽职守等职务违法和职务犯罪进行调查；对违法的公职人员作出政务处分决定，对履行职责不力、失职失责的领导人员进行问责，对涉嫌职务犯罪的将调查结果移送检察机关提起公诉，对在行使职权中存在的问题提出监察建议。</w:t>
      </w:r>
    </w:p>
    <w:p>
      <w:pPr>
        <w:pStyle w:val="26"/>
      </w:pPr>
      <w:r>
        <w:rPr>
          <w:rFonts w:hint="eastAsia"/>
        </w:rPr>
        <w:t>三、党风廉政建设</w:t>
      </w:r>
    </w:p>
    <w:p>
      <w:pPr>
        <w:pStyle w:val="26"/>
      </w:pPr>
      <w:r>
        <w:rPr>
          <w:rFonts w:hint="eastAsia"/>
        </w:rPr>
        <w:t>职责描述：组织协调全县党风廉政建设和反腐败宣传、教育、课题研究、法规起草修订等工作；承担县委惩治和预防腐败体系领导小组办公室和县预防腐败局的日常工作。</w:t>
      </w:r>
    </w:p>
    <w:p>
      <w:pPr>
        <w:pStyle w:val="26"/>
      </w:pPr>
      <w:r>
        <w:rPr>
          <w:rFonts w:hint="eastAsia"/>
        </w:rPr>
        <w:t>绩效目标：积极发挥职能作用，加强党风廉政建设，营造风清气正、干事创业的工作氛围。</w:t>
      </w:r>
    </w:p>
    <w:p>
      <w:pPr>
        <w:pStyle w:val="26"/>
      </w:pPr>
      <w:r>
        <w:rPr>
          <w:rFonts w:hint="eastAsia"/>
        </w:rPr>
        <w:t>四、纪检监察事务</w:t>
      </w:r>
    </w:p>
    <w:p>
      <w:pPr>
        <w:pStyle w:val="26"/>
      </w:pPr>
      <w:r>
        <w:rPr>
          <w:rFonts w:hint="eastAsia"/>
        </w:rPr>
        <w:t>职责描述：纪检政策宣传，新办案点建设、运行维护。</w:t>
      </w:r>
    </w:p>
    <w:p>
      <w:pPr>
        <w:pStyle w:val="26"/>
      </w:pPr>
      <w:r>
        <w:rPr>
          <w:rFonts w:hint="eastAsia"/>
        </w:rPr>
        <w:t>绩效目标：为案件查办、纪检监察业务、党风廉政建设提高服务和保障。</w:t>
      </w:r>
    </w:p>
    <w:p>
      <w:pPr>
        <w:pStyle w:val="26"/>
      </w:pPr>
    </w:p>
    <w:p>
      <w:pPr>
        <w:pStyle w:val="26"/>
      </w:pPr>
    </w:p>
    <w:p>
      <w:pPr>
        <w:spacing w:line="500" w:lineRule="exact"/>
        <w:ind w:firstLine="560"/>
      </w:pPr>
      <w:r>
        <w:rPr>
          <w:rFonts w:hint="eastAsia" w:eastAsia="方正仿宋_GBK"/>
          <w:color w:val="000000"/>
          <w:sz w:val="28"/>
        </w:rPr>
        <w:t>（三）工作保障措施</w:t>
      </w:r>
    </w:p>
    <w:p>
      <w:pPr>
        <w:pStyle w:val="27"/>
      </w:pPr>
      <w:r>
        <w:rPr>
          <w:rFonts w:hint="eastAsia"/>
        </w:rPr>
        <w:t>实现年度发展规划目标的保障措施</w:t>
      </w:r>
    </w:p>
    <w:p>
      <w:pPr>
        <w:pStyle w:val="27"/>
      </w:pPr>
      <w:r>
        <w:t>2020</w:t>
      </w:r>
      <w:r>
        <w:rPr>
          <w:rFonts w:hint="eastAsia"/>
        </w:rPr>
        <w:t>年，按照上级纪委和县委安排部署，忠实履行党章和宪法赋予职责，坚持党要管党、全面从严治党，以党的建设为统领，全面推进党的各项建设，深化国家监察体制改革，持之以恒正风肃纪。</w:t>
      </w:r>
    </w:p>
    <w:p>
      <w:pPr>
        <w:pStyle w:val="27"/>
      </w:pPr>
      <w:r>
        <w:rPr>
          <w:rFonts w:hint="eastAsia"/>
        </w:rPr>
        <w:t>一、全面推进党的各项建设，深入推进反腐败斗争，推动党要管党责任的落实。强化对公务用车、办公用房、公务接待等方面制度落实情况的监督检查。严查不作为、乱作为、慢作为等问题。</w:t>
      </w:r>
    </w:p>
    <w:p>
      <w:pPr>
        <w:pStyle w:val="27"/>
      </w:pPr>
      <w:r>
        <w:rPr>
          <w:rFonts w:hint="eastAsia"/>
        </w:rPr>
        <w:t>二、着力健全完善监督体系，积极发挥监督职能，实现监督检查常态化、制度化。扎实推进监察体制改革试点工作，坚决担当起改革任务，做好检察机关的职能划转工作，深入研究解决改革涉及的机构编制、干部配备、经费保障等工作。</w:t>
      </w:r>
    </w:p>
    <w:p>
      <w:pPr>
        <w:pStyle w:val="27"/>
      </w:pPr>
      <w:r>
        <w:rPr>
          <w:rFonts w:hint="eastAsia"/>
        </w:rPr>
        <w:t>三、加强机关事务性管理，提高机关自身工作能力，为纪律审查、纪检监察业务、党风廉政建设提高服务和保障。提高履职能力，建设全面过硬的纪检监察队伍，确保纪检监察机关工作有效运转。</w:t>
      </w:r>
    </w:p>
    <w:p>
      <w:pPr>
        <w:pStyle w:val="27"/>
      </w:pPr>
    </w:p>
    <w:p>
      <w:pPr>
        <w:pStyle w:val="27"/>
      </w:pPr>
    </w:p>
    <w:p>
      <w:pPr>
        <w:pStyle w:val="27"/>
      </w:pPr>
    </w:p>
    <w:p>
      <w:pPr>
        <w:ind w:firstLine="640"/>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rPr>
        <w:t>第二部分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640"/>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rPr>
        <w:t>第三部分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、各类专项活动经费项目绩效目标表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不定期开展检查</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监督检查覆盖率（%）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实际开展监督检查的对象数量占应监管对象总数的比率</w:t>
            </w:r>
          </w:p>
        </w:tc>
        <w:tc>
          <w:tcPr>
            <w:tcW w:w="2551" w:type="dxa"/>
            <w:vAlign w:val="center"/>
          </w:tcPr>
          <w:p>
            <w:pPr>
              <w:pStyle w:val="16"/>
              <w:rPr>
                <w:rFonts w:hint="eastAsia" w:ascii="仿宋" w:hAnsi="仿宋" w:eastAsia="仿宋" w:cs="仿宋"/>
              </w:rPr>
            </w:pPr>
            <w:r>
              <w:rPr>
                <w:rFonts w:hint="eastAsia" w:ascii="仿宋" w:hAnsi="仿宋" w:eastAsia="仿宋" w:cs="仿宋"/>
                <w:color w:val="000000" w:themeColor="text1"/>
              </w:rPr>
              <w:t>≥80%</w:t>
            </w:r>
          </w:p>
        </w:tc>
        <w:tc>
          <w:tcPr>
            <w:tcW w:w="2268" w:type="dxa"/>
            <w:vAlign w:val="top"/>
          </w:tcPr>
          <w:p>
            <w:pPr>
              <w:keepNext w:val="0"/>
              <w:keepLines w:val="0"/>
              <w:widowControl/>
              <w:suppressLineNumbers w:val="0"/>
              <w:jc w:val="left"/>
              <w:textAlignment w:val="top"/>
              <w:rPr>
                <w:rFonts w:hint="eastAsia" w:ascii="仿宋" w:hAnsi="仿宋" w:eastAsia="仿宋" w:cs="仿宋"/>
              </w:rPr>
            </w:pPr>
            <w:r>
              <w:rPr>
                <w:rStyle w:val="35"/>
                <w:rFonts w:hint="eastAsia" w:ascii="仿宋" w:hAnsi="仿宋" w:eastAsia="仿宋" w:cs="仿宋"/>
                <w:color w:val="000000" w:themeColor="text1"/>
                <w:lang w:val="en-US" w:eastAsia="zh-CN" w:bidi="ar"/>
              </w:rPr>
              <w:t>丰纪发（</w:t>
            </w:r>
            <w:r>
              <w:rPr>
                <w:rStyle w:val="36"/>
                <w:rFonts w:hint="eastAsia" w:ascii="仿宋" w:hAnsi="仿宋" w:eastAsia="仿宋" w:cs="仿宋"/>
                <w:color w:val="000000" w:themeColor="text1"/>
                <w:lang w:val="en-US" w:eastAsia="zh-CN" w:bidi="ar"/>
              </w:rPr>
              <w:t>2018</w:t>
            </w:r>
            <w:r>
              <w:rPr>
                <w:rStyle w:val="35"/>
                <w:rFonts w:hint="eastAsia" w:ascii="仿宋" w:hAnsi="仿宋" w:eastAsia="仿宋" w:cs="仿宋"/>
                <w:color w:val="000000" w:themeColor="text1"/>
                <w:lang w:val="en-US" w:eastAsia="zh-CN" w:bidi="ar"/>
              </w:rPr>
              <w:t>）</w:t>
            </w:r>
            <w:r>
              <w:rPr>
                <w:rStyle w:val="36"/>
                <w:rFonts w:hint="eastAsia" w:ascii="仿宋" w:hAnsi="仿宋" w:eastAsia="仿宋" w:cs="仿宋"/>
                <w:color w:val="000000" w:themeColor="text1"/>
                <w:lang w:val="en-US" w:eastAsia="zh-CN" w:bidi="ar"/>
              </w:rPr>
              <w:t>16</w:t>
            </w:r>
            <w:r>
              <w:rPr>
                <w:rStyle w:val="35"/>
                <w:rFonts w:hint="eastAsia" w:ascii="仿宋" w:hAnsi="仿宋" w:eastAsia="仿宋" w:cs="仿宋"/>
                <w:color w:val="000000" w:themeColor="text1"/>
                <w:lang w:val="en-US" w:eastAsia="zh-CN" w:bidi="ar"/>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问题整改率（%）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已整改问题数量占发现问题总数的比率</w:t>
            </w:r>
          </w:p>
        </w:tc>
        <w:tc>
          <w:tcPr>
            <w:tcW w:w="2551" w:type="dxa"/>
            <w:vAlign w:val="center"/>
          </w:tcPr>
          <w:p>
            <w:pPr>
              <w:pStyle w:val="16"/>
              <w:rPr>
                <w:rFonts w:hint="eastAsia" w:ascii="仿宋" w:hAnsi="仿宋" w:eastAsia="仿宋" w:cs="仿宋"/>
              </w:rPr>
            </w:pPr>
            <w:r>
              <w:rPr>
                <w:rFonts w:hint="eastAsia" w:ascii="仿宋" w:hAnsi="仿宋" w:eastAsia="仿宋" w:cs="仿宋"/>
                <w:color w:val="000000" w:themeColor="text1"/>
              </w:rPr>
              <w:t>≥</w:t>
            </w:r>
            <w:r>
              <w:rPr>
                <w:rFonts w:hint="eastAsia" w:ascii="仿宋" w:hAnsi="仿宋" w:eastAsia="仿宋" w:cs="仿宋"/>
                <w:color w:val="000000" w:themeColor="text1"/>
                <w:lang w:val="en-US" w:eastAsia="zh-CN"/>
              </w:rPr>
              <w:t>80</w:t>
            </w:r>
            <w:r>
              <w:rPr>
                <w:rFonts w:hint="eastAsia" w:ascii="仿宋" w:hAnsi="仿宋" w:eastAsia="仿宋" w:cs="仿宋"/>
                <w:color w:val="000000" w:themeColor="text1"/>
              </w:rPr>
              <w:t>%</w:t>
            </w:r>
          </w:p>
        </w:tc>
        <w:tc>
          <w:tcPr>
            <w:tcW w:w="2268" w:type="dxa"/>
            <w:vAlign w:val="top"/>
          </w:tcPr>
          <w:p>
            <w:pPr>
              <w:keepNext w:val="0"/>
              <w:keepLines w:val="0"/>
              <w:widowControl/>
              <w:suppressLineNumbers w:val="0"/>
              <w:jc w:val="left"/>
              <w:textAlignment w:val="top"/>
              <w:rPr>
                <w:rFonts w:hint="eastAsia" w:ascii="仿宋" w:hAnsi="仿宋" w:eastAsia="仿宋" w:cs="仿宋"/>
              </w:rPr>
            </w:pPr>
            <w:r>
              <w:rPr>
                <w:rStyle w:val="35"/>
                <w:rFonts w:hint="eastAsia" w:ascii="仿宋" w:hAnsi="仿宋" w:eastAsia="仿宋" w:cs="仿宋"/>
                <w:color w:val="000000" w:themeColor="text1"/>
                <w:lang w:val="en-US" w:eastAsia="zh-CN" w:bidi="ar"/>
              </w:rPr>
              <w:t>丰纪发（</w:t>
            </w:r>
            <w:r>
              <w:rPr>
                <w:rStyle w:val="36"/>
                <w:rFonts w:hint="eastAsia" w:ascii="仿宋" w:hAnsi="仿宋" w:eastAsia="仿宋" w:cs="仿宋"/>
                <w:color w:val="000000" w:themeColor="text1"/>
                <w:lang w:val="en-US" w:eastAsia="zh-CN" w:bidi="ar"/>
              </w:rPr>
              <w:t>2018</w:t>
            </w:r>
            <w:r>
              <w:rPr>
                <w:rStyle w:val="35"/>
                <w:rFonts w:hint="eastAsia" w:ascii="仿宋" w:hAnsi="仿宋" w:eastAsia="仿宋" w:cs="仿宋"/>
                <w:color w:val="000000" w:themeColor="text1"/>
                <w:lang w:val="en-US" w:eastAsia="zh-CN" w:bidi="ar"/>
              </w:rPr>
              <w:t>）</w:t>
            </w:r>
            <w:r>
              <w:rPr>
                <w:rStyle w:val="36"/>
                <w:rFonts w:hint="eastAsia" w:ascii="仿宋" w:hAnsi="仿宋" w:eastAsia="仿宋" w:cs="仿宋"/>
                <w:color w:val="000000" w:themeColor="text1"/>
                <w:lang w:val="en-US" w:eastAsia="zh-CN" w:bidi="ar"/>
              </w:rPr>
              <w:t>16</w:t>
            </w:r>
            <w:r>
              <w:rPr>
                <w:rStyle w:val="35"/>
                <w:rFonts w:hint="eastAsia" w:ascii="仿宋" w:hAnsi="仿宋" w:eastAsia="仿宋" w:cs="仿宋"/>
                <w:color w:val="000000" w:themeColor="text1"/>
                <w:lang w:val="en-US" w:eastAsia="zh-CN" w:bidi="ar"/>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案件办结及时程度</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案件办结及时程度情况</w:t>
            </w:r>
          </w:p>
        </w:tc>
        <w:tc>
          <w:tcPr>
            <w:tcW w:w="2551" w:type="dxa"/>
            <w:vAlign w:val="center"/>
          </w:tcPr>
          <w:p>
            <w:pPr>
              <w:pStyle w:val="16"/>
              <w:rPr>
                <w:rFonts w:hint="eastAsia" w:ascii="仿宋" w:hAnsi="仿宋" w:eastAsia="仿宋" w:cs="仿宋"/>
              </w:rPr>
            </w:pPr>
            <w:r>
              <w:rPr>
                <w:rFonts w:hint="eastAsia" w:ascii="仿宋" w:hAnsi="仿宋" w:eastAsia="仿宋" w:cs="仿宋"/>
                <w:color w:val="000000" w:themeColor="text1"/>
              </w:rPr>
              <w:t>≥</w:t>
            </w:r>
            <w:r>
              <w:rPr>
                <w:rFonts w:hint="eastAsia" w:ascii="仿宋" w:hAnsi="仿宋" w:eastAsia="仿宋" w:cs="仿宋"/>
                <w:color w:val="000000" w:themeColor="text1"/>
                <w:lang w:val="en-US" w:eastAsia="zh-CN"/>
              </w:rPr>
              <w:t>80</w:t>
            </w:r>
            <w:r>
              <w:rPr>
                <w:rFonts w:hint="eastAsia" w:ascii="仿宋" w:hAnsi="仿宋" w:eastAsia="仿宋" w:cs="仿宋"/>
                <w:color w:val="000000" w:themeColor="text1"/>
              </w:rPr>
              <w:t>%</w:t>
            </w:r>
          </w:p>
        </w:tc>
        <w:tc>
          <w:tcPr>
            <w:tcW w:w="2268" w:type="dxa"/>
            <w:vAlign w:val="top"/>
          </w:tcPr>
          <w:p>
            <w:pPr>
              <w:keepNext w:val="0"/>
              <w:keepLines w:val="0"/>
              <w:widowControl/>
              <w:suppressLineNumbers w:val="0"/>
              <w:jc w:val="left"/>
              <w:textAlignment w:val="top"/>
              <w:rPr>
                <w:rFonts w:hint="eastAsia" w:ascii="仿宋" w:hAnsi="仿宋" w:eastAsia="仿宋" w:cs="仿宋"/>
              </w:rPr>
            </w:pPr>
            <w:r>
              <w:rPr>
                <w:rStyle w:val="35"/>
                <w:rFonts w:hint="eastAsia" w:ascii="仿宋" w:hAnsi="仿宋" w:eastAsia="仿宋" w:cs="仿宋"/>
                <w:color w:val="000000" w:themeColor="text1"/>
                <w:lang w:val="en-US" w:eastAsia="zh-CN" w:bidi="ar"/>
              </w:rPr>
              <w:t>丰纪发（</w:t>
            </w:r>
            <w:r>
              <w:rPr>
                <w:rStyle w:val="36"/>
                <w:rFonts w:hint="eastAsia" w:ascii="仿宋" w:hAnsi="仿宋" w:eastAsia="仿宋" w:cs="仿宋"/>
                <w:color w:val="000000" w:themeColor="text1"/>
                <w:lang w:val="en-US" w:eastAsia="zh-CN" w:bidi="ar"/>
              </w:rPr>
              <w:t>2018</w:t>
            </w:r>
            <w:r>
              <w:rPr>
                <w:rStyle w:val="35"/>
                <w:rFonts w:hint="eastAsia" w:ascii="仿宋" w:hAnsi="仿宋" w:eastAsia="仿宋" w:cs="仿宋"/>
                <w:color w:val="000000" w:themeColor="text1"/>
                <w:lang w:val="en-US" w:eastAsia="zh-CN" w:bidi="ar"/>
              </w:rPr>
              <w:t>）</w:t>
            </w:r>
            <w:r>
              <w:rPr>
                <w:rStyle w:val="36"/>
                <w:rFonts w:hint="eastAsia" w:ascii="仿宋" w:hAnsi="仿宋" w:eastAsia="仿宋" w:cs="仿宋"/>
                <w:color w:val="000000" w:themeColor="text1"/>
                <w:lang w:val="en-US" w:eastAsia="zh-CN" w:bidi="ar"/>
              </w:rPr>
              <w:t>16</w:t>
            </w:r>
            <w:r>
              <w:rPr>
                <w:rStyle w:val="35"/>
                <w:rFonts w:hint="eastAsia" w:ascii="仿宋" w:hAnsi="仿宋" w:eastAsia="仿宋" w:cs="仿宋"/>
                <w:color w:val="000000" w:themeColor="text1"/>
                <w:lang w:val="en-US" w:eastAsia="zh-CN" w:bidi="ar"/>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案件办结</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提高行政效率</w:t>
            </w:r>
          </w:p>
        </w:tc>
        <w:tc>
          <w:tcPr>
            <w:tcW w:w="2551" w:type="dxa"/>
            <w:vAlign w:val="center"/>
          </w:tcPr>
          <w:p>
            <w:pPr>
              <w:pStyle w:val="16"/>
              <w:rPr>
                <w:rFonts w:hint="eastAsia" w:ascii="仿宋" w:hAnsi="仿宋" w:eastAsia="仿宋" w:cs="仿宋"/>
              </w:rPr>
            </w:pPr>
            <w:r>
              <w:rPr>
                <w:rFonts w:hint="eastAsia" w:ascii="仿宋" w:hAnsi="仿宋" w:eastAsia="仿宋" w:cs="仿宋"/>
                <w:color w:val="000000" w:themeColor="text1"/>
              </w:rPr>
              <w:t>≥80%</w:t>
            </w:r>
          </w:p>
        </w:tc>
        <w:tc>
          <w:tcPr>
            <w:tcW w:w="2268" w:type="dxa"/>
            <w:vAlign w:val="top"/>
          </w:tcPr>
          <w:p>
            <w:pPr>
              <w:keepNext w:val="0"/>
              <w:keepLines w:val="0"/>
              <w:widowControl/>
              <w:suppressLineNumbers w:val="0"/>
              <w:jc w:val="left"/>
              <w:textAlignment w:val="top"/>
              <w:rPr>
                <w:rFonts w:hint="eastAsia" w:ascii="仿宋" w:hAnsi="仿宋" w:eastAsia="仿宋" w:cs="仿宋"/>
              </w:rPr>
            </w:pPr>
            <w:r>
              <w:rPr>
                <w:rStyle w:val="35"/>
                <w:rFonts w:hint="eastAsia" w:ascii="仿宋" w:hAnsi="仿宋" w:eastAsia="仿宋" w:cs="仿宋"/>
                <w:color w:val="000000" w:themeColor="text1"/>
                <w:lang w:val="en-US" w:eastAsia="zh-CN" w:bidi="ar"/>
              </w:rPr>
              <w:t>丰纪发（</w:t>
            </w:r>
            <w:r>
              <w:rPr>
                <w:rStyle w:val="36"/>
                <w:rFonts w:hint="eastAsia" w:ascii="仿宋" w:hAnsi="仿宋" w:eastAsia="仿宋" w:cs="仿宋"/>
                <w:color w:val="000000" w:themeColor="text1"/>
                <w:lang w:val="en-US" w:eastAsia="zh-CN" w:bidi="ar"/>
              </w:rPr>
              <w:t>2018</w:t>
            </w:r>
            <w:r>
              <w:rPr>
                <w:rStyle w:val="35"/>
                <w:rFonts w:hint="eastAsia" w:ascii="仿宋" w:hAnsi="仿宋" w:eastAsia="仿宋" w:cs="仿宋"/>
                <w:color w:val="000000" w:themeColor="text1"/>
                <w:lang w:val="en-US" w:eastAsia="zh-CN" w:bidi="ar"/>
              </w:rPr>
              <w:t>）</w:t>
            </w:r>
            <w:r>
              <w:rPr>
                <w:rStyle w:val="36"/>
                <w:rFonts w:hint="eastAsia" w:ascii="仿宋" w:hAnsi="仿宋" w:eastAsia="仿宋" w:cs="仿宋"/>
                <w:color w:val="000000" w:themeColor="text1"/>
                <w:lang w:val="en-US" w:eastAsia="zh-CN" w:bidi="ar"/>
              </w:rPr>
              <w:t>16</w:t>
            </w:r>
            <w:r>
              <w:rPr>
                <w:rStyle w:val="35"/>
                <w:rFonts w:hint="eastAsia" w:ascii="仿宋" w:hAnsi="仿宋" w:eastAsia="仿宋" w:cs="仿宋"/>
                <w:color w:val="000000" w:themeColor="text1"/>
                <w:lang w:val="en-US" w:eastAsia="zh-CN" w:bidi="ar"/>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对案件查办发挥的影响</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对案件查办发挥的影响时间</w:t>
            </w:r>
          </w:p>
        </w:tc>
        <w:tc>
          <w:tcPr>
            <w:tcW w:w="2551" w:type="dxa"/>
            <w:vAlign w:val="center"/>
          </w:tcPr>
          <w:p>
            <w:pPr>
              <w:pStyle w:val="16"/>
              <w:rPr>
                <w:rFonts w:hint="eastAsia" w:ascii="仿宋" w:hAnsi="仿宋" w:eastAsia="仿宋" w:cs="仿宋"/>
              </w:rPr>
            </w:pPr>
            <w:r>
              <w:rPr>
                <w:rFonts w:hint="eastAsia" w:ascii="仿宋" w:hAnsi="仿宋" w:eastAsia="仿宋" w:cs="仿宋"/>
                <w:color w:val="000000" w:themeColor="text1"/>
                <w:lang w:val="en-US" w:eastAsia="zh-CN"/>
              </w:rPr>
              <w:t>=3年</w:t>
            </w:r>
          </w:p>
        </w:tc>
        <w:tc>
          <w:tcPr>
            <w:tcW w:w="2268" w:type="dxa"/>
            <w:vAlign w:val="top"/>
          </w:tcPr>
          <w:p>
            <w:pPr>
              <w:keepNext w:val="0"/>
              <w:keepLines w:val="0"/>
              <w:widowControl/>
              <w:suppressLineNumbers w:val="0"/>
              <w:jc w:val="left"/>
              <w:textAlignment w:val="top"/>
              <w:rPr>
                <w:rFonts w:hint="eastAsia" w:ascii="仿宋" w:hAnsi="仿宋" w:eastAsia="仿宋" w:cs="仿宋"/>
              </w:rPr>
            </w:pPr>
            <w:r>
              <w:rPr>
                <w:rStyle w:val="35"/>
                <w:rFonts w:hint="eastAsia" w:ascii="仿宋" w:hAnsi="仿宋" w:eastAsia="仿宋" w:cs="仿宋"/>
                <w:color w:val="000000" w:themeColor="text1"/>
                <w:lang w:val="en-US" w:eastAsia="zh-CN" w:bidi="ar"/>
              </w:rPr>
              <w:t>丰纪发（</w:t>
            </w:r>
            <w:r>
              <w:rPr>
                <w:rStyle w:val="36"/>
                <w:rFonts w:hint="eastAsia" w:ascii="仿宋" w:hAnsi="仿宋" w:eastAsia="仿宋" w:cs="仿宋"/>
                <w:color w:val="000000" w:themeColor="text1"/>
                <w:lang w:val="en-US" w:eastAsia="zh-CN" w:bidi="ar"/>
              </w:rPr>
              <w:t>2018</w:t>
            </w:r>
            <w:r>
              <w:rPr>
                <w:rStyle w:val="35"/>
                <w:rFonts w:hint="eastAsia" w:ascii="仿宋" w:hAnsi="仿宋" w:eastAsia="仿宋" w:cs="仿宋"/>
                <w:color w:val="000000" w:themeColor="text1"/>
                <w:lang w:val="en-US" w:eastAsia="zh-CN" w:bidi="ar"/>
              </w:rPr>
              <w:t>）</w:t>
            </w:r>
            <w:r>
              <w:rPr>
                <w:rStyle w:val="36"/>
                <w:rFonts w:hint="eastAsia" w:ascii="仿宋" w:hAnsi="仿宋" w:eastAsia="仿宋" w:cs="仿宋"/>
                <w:color w:val="000000" w:themeColor="text1"/>
                <w:lang w:val="en-US" w:eastAsia="zh-CN" w:bidi="ar"/>
              </w:rPr>
              <w:t>16</w:t>
            </w:r>
            <w:r>
              <w:rPr>
                <w:rStyle w:val="35"/>
                <w:rFonts w:hint="eastAsia" w:ascii="仿宋" w:hAnsi="仿宋" w:eastAsia="仿宋" w:cs="仿宋"/>
                <w:color w:val="000000" w:themeColor="text1"/>
                <w:lang w:val="en-US" w:eastAsia="zh-CN" w:bidi="ar"/>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rPr>
                <w:rFonts w:hint="eastAsia" w:ascii="仿宋" w:hAnsi="仿宋" w:eastAsia="仿宋" w:cs="仿宋"/>
              </w:rPr>
            </w:pPr>
            <w:r>
              <w:rPr>
                <w:rFonts w:hint="eastAsia" w:ascii="仿宋" w:hAnsi="仿宋" w:eastAsia="仿宋" w:cs="仿宋"/>
                <w:color w:val="000000" w:themeColor="text1"/>
              </w:rPr>
              <w:t>群众满意率（%）</w:t>
            </w:r>
          </w:p>
        </w:tc>
        <w:tc>
          <w:tcPr>
            <w:tcW w:w="2835" w:type="dxa"/>
            <w:vAlign w:val="center"/>
          </w:tcPr>
          <w:p>
            <w:pPr>
              <w:pStyle w:val="16"/>
              <w:rPr>
                <w:rFonts w:hint="eastAsia" w:ascii="仿宋" w:hAnsi="仿宋" w:eastAsia="仿宋" w:cs="仿宋"/>
              </w:rPr>
            </w:pPr>
            <w:r>
              <w:rPr>
                <w:rFonts w:hint="eastAsia" w:ascii="仿宋" w:hAnsi="仿宋" w:eastAsia="仿宋" w:cs="仿宋"/>
                <w:color w:val="000000" w:themeColor="text1"/>
              </w:rPr>
              <w:t>满意、比较满意人数占群众人数的比率</w:t>
            </w:r>
          </w:p>
        </w:tc>
        <w:tc>
          <w:tcPr>
            <w:tcW w:w="2551" w:type="dxa"/>
            <w:vAlign w:val="center"/>
          </w:tcPr>
          <w:p>
            <w:pPr>
              <w:pStyle w:val="16"/>
              <w:rPr>
                <w:rFonts w:hint="eastAsia" w:ascii="仿宋" w:hAnsi="仿宋" w:eastAsia="仿宋" w:cs="仿宋"/>
              </w:rPr>
            </w:pPr>
            <w:r>
              <w:rPr>
                <w:rFonts w:hint="eastAsia" w:ascii="仿宋" w:hAnsi="仿宋" w:eastAsia="仿宋" w:cs="仿宋"/>
                <w:color w:val="000000" w:themeColor="text1"/>
              </w:rPr>
              <w:t>≥100%</w:t>
            </w:r>
          </w:p>
        </w:tc>
        <w:tc>
          <w:tcPr>
            <w:tcW w:w="2268" w:type="dxa"/>
            <w:vAlign w:val="top"/>
          </w:tcPr>
          <w:p>
            <w:pPr>
              <w:keepNext w:val="0"/>
              <w:keepLines w:val="0"/>
              <w:widowControl/>
              <w:suppressLineNumbers w:val="0"/>
              <w:jc w:val="left"/>
              <w:textAlignment w:val="top"/>
              <w:rPr>
                <w:rFonts w:hint="eastAsia" w:ascii="仿宋" w:hAnsi="仿宋" w:eastAsia="仿宋" w:cs="仿宋"/>
              </w:rPr>
            </w:pPr>
            <w:r>
              <w:rPr>
                <w:rStyle w:val="35"/>
                <w:rFonts w:hint="eastAsia" w:ascii="仿宋" w:hAnsi="仿宋" w:eastAsia="仿宋" w:cs="仿宋"/>
                <w:color w:val="000000" w:themeColor="text1"/>
                <w:lang w:val="en-US" w:eastAsia="zh-CN" w:bidi="ar"/>
              </w:rPr>
              <w:t>丰纪发（</w:t>
            </w:r>
            <w:r>
              <w:rPr>
                <w:rStyle w:val="36"/>
                <w:rFonts w:hint="eastAsia" w:ascii="仿宋" w:hAnsi="仿宋" w:eastAsia="仿宋" w:cs="仿宋"/>
                <w:color w:val="000000" w:themeColor="text1"/>
                <w:lang w:val="en-US" w:eastAsia="zh-CN" w:bidi="ar"/>
              </w:rPr>
              <w:t>2018</w:t>
            </w:r>
            <w:r>
              <w:rPr>
                <w:rStyle w:val="35"/>
                <w:rFonts w:hint="eastAsia" w:ascii="仿宋" w:hAnsi="仿宋" w:eastAsia="仿宋" w:cs="仿宋"/>
                <w:color w:val="000000" w:themeColor="text1"/>
                <w:lang w:val="en-US" w:eastAsia="zh-CN" w:bidi="ar"/>
              </w:rPr>
              <w:t>）</w:t>
            </w:r>
            <w:r>
              <w:rPr>
                <w:rStyle w:val="36"/>
                <w:rFonts w:hint="eastAsia" w:ascii="仿宋" w:hAnsi="仿宋" w:eastAsia="仿宋" w:cs="仿宋"/>
                <w:color w:val="000000" w:themeColor="text1"/>
                <w:lang w:val="en-US" w:eastAsia="zh-CN" w:bidi="ar"/>
              </w:rPr>
              <w:t>16</w:t>
            </w:r>
            <w:r>
              <w:rPr>
                <w:rStyle w:val="35"/>
                <w:rFonts w:hint="eastAsia" w:ascii="仿宋" w:hAnsi="仿宋" w:eastAsia="仿宋" w:cs="仿宋"/>
                <w:color w:val="000000" w:themeColor="text1"/>
                <w:lang w:val="en-US" w:eastAsia="zh-CN" w:bidi="ar"/>
              </w:rPr>
              <w:t>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、集中办案经费项目绩效目标表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w:t>
            </w:r>
            <w:r>
              <w:t>1</w:t>
            </w:r>
            <w:r>
              <w:rPr>
                <w:rFonts w:hint="eastAsia"/>
              </w:rPr>
              <w:t>：保证乡镇纪委书记及纪律检查员在县纪委办案、交叉办案和抽调大案要案产生的经费支出</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rPr>
                <w:rFonts w:hint="eastAsia" w:ascii="仿宋" w:hAnsi="仿宋" w:eastAsia="仿宋" w:cs="仿宋"/>
              </w:rPr>
            </w:pPr>
            <w:r>
              <w:rPr>
                <w:rFonts w:hint="eastAsia" w:ascii="仿宋" w:hAnsi="仿宋" w:eastAsia="仿宋" w:cs="仿宋"/>
              </w:rPr>
              <w:t>办理案件数（个）</w:t>
            </w:r>
          </w:p>
        </w:tc>
        <w:tc>
          <w:tcPr>
            <w:tcW w:w="2835" w:type="dxa"/>
            <w:vAlign w:val="center"/>
          </w:tcPr>
          <w:p>
            <w:pPr>
              <w:pStyle w:val="16"/>
              <w:rPr>
                <w:rFonts w:hint="eastAsia" w:ascii="仿宋" w:hAnsi="仿宋" w:eastAsia="仿宋" w:cs="仿宋"/>
              </w:rPr>
            </w:pPr>
            <w:r>
              <w:rPr>
                <w:rFonts w:hint="eastAsia" w:ascii="仿宋" w:hAnsi="仿宋" w:eastAsia="仿宋" w:cs="仿宋"/>
              </w:rPr>
              <w:t>实际办理案件数量</w:t>
            </w:r>
          </w:p>
        </w:tc>
        <w:tc>
          <w:tcPr>
            <w:tcW w:w="2551" w:type="dxa"/>
            <w:vAlign w:val="center"/>
          </w:tcPr>
          <w:p>
            <w:pPr>
              <w:pStyle w:val="16"/>
              <w:rPr>
                <w:rFonts w:hint="eastAsia" w:ascii="仿宋" w:hAnsi="仿宋" w:eastAsia="仿宋" w:cs="仿宋"/>
                <w:lang w:eastAsia="zh-CN"/>
              </w:rPr>
            </w:pPr>
            <w:r>
              <w:rPr>
                <w:rFonts w:hint="eastAsia" w:ascii="仿宋" w:hAnsi="仿宋" w:eastAsia="仿宋" w:cs="仿宋"/>
              </w:rPr>
              <w:t>≥30</w:t>
            </w:r>
            <w:r>
              <w:rPr>
                <w:rFonts w:hint="eastAsia" w:ascii="仿宋" w:hAnsi="仿宋" w:eastAsia="仿宋" w:cs="仿宋"/>
                <w:lang w:eastAsia="zh-CN"/>
              </w:rPr>
              <w:t>个</w:t>
            </w:r>
          </w:p>
          <w:p>
            <w:pPr>
              <w:pStyle w:val="16"/>
              <w:rPr>
                <w:rFonts w:hint="eastAsia" w:ascii="仿宋" w:hAnsi="仿宋" w:eastAsia="仿宋" w:cs="仿宋"/>
              </w:rPr>
            </w:pPr>
          </w:p>
        </w:tc>
        <w:tc>
          <w:tcPr>
            <w:tcW w:w="2268" w:type="dxa"/>
            <w:vAlign w:val="center"/>
          </w:tcPr>
          <w:p>
            <w:pPr>
              <w:pStyle w:val="16"/>
              <w:rPr>
                <w:rFonts w:hint="eastAsia" w:ascii="仿宋" w:hAnsi="仿宋" w:eastAsia="仿宋" w:cs="仿宋"/>
              </w:rPr>
            </w:pPr>
            <w:r>
              <w:rPr>
                <w:rFonts w:hint="eastAsia" w:ascii="仿宋" w:hAnsi="仿宋" w:eastAsia="仿宋" w:cs="仿宋"/>
              </w:rPr>
              <w:t>丰纪办字（2018）1号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工作任务完成率（%）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完成的工作任务占工作总量的比率</w:t>
            </w:r>
          </w:p>
        </w:tc>
        <w:tc>
          <w:tcPr>
            <w:tcW w:w="2551" w:type="dxa"/>
            <w:vAlign w:val="center"/>
          </w:tcPr>
          <w:p>
            <w:pPr>
              <w:pStyle w:val="16"/>
              <w:rPr>
                <w:rFonts w:hint="eastAsia" w:ascii="仿宋" w:hAnsi="仿宋" w:eastAsia="仿宋" w:cs="仿宋"/>
              </w:rPr>
            </w:pPr>
            <w:r>
              <w:rPr>
                <w:rFonts w:hint="eastAsia" w:ascii="仿宋" w:hAnsi="仿宋" w:eastAsia="仿宋" w:cs="仿宋"/>
              </w:rPr>
              <w:t>≥90%</w:t>
            </w:r>
          </w:p>
        </w:tc>
        <w:tc>
          <w:tcPr>
            <w:tcW w:w="2268" w:type="dxa"/>
            <w:vAlign w:val="center"/>
          </w:tcPr>
          <w:p>
            <w:pPr>
              <w:rPr>
                <w:rFonts w:hint="eastAsia" w:ascii="仿宋" w:hAnsi="仿宋" w:eastAsia="仿宋" w:cs="仿宋"/>
              </w:rPr>
            </w:pPr>
            <w:r>
              <w:rPr>
                <w:rFonts w:hint="eastAsia" w:ascii="仿宋" w:hAnsi="仿宋" w:eastAsia="仿宋" w:cs="仿宋"/>
              </w:rPr>
              <w:t>丰纪办字（2018）1号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案件办结及时程度</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案件办结及时程度情况</w:t>
            </w:r>
          </w:p>
        </w:tc>
        <w:tc>
          <w:tcPr>
            <w:tcW w:w="2551" w:type="dxa"/>
            <w:vAlign w:val="center"/>
          </w:tcPr>
          <w:p>
            <w:pPr>
              <w:pStyle w:val="16"/>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80</w:t>
            </w:r>
            <w:r>
              <w:rPr>
                <w:rFonts w:hint="eastAsia" w:ascii="仿宋" w:hAnsi="仿宋" w:eastAsia="仿宋" w:cs="仿宋"/>
              </w:rPr>
              <w:t>%</w:t>
            </w:r>
          </w:p>
        </w:tc>
        <w:tc>
          <w:tcPr>
            <w:tcW w:w="2268" w:type="dxa"/>
            <w:vAlign w:val="center"/>
          </w:tcPr>
          <w:p>
            <w:pPr>
              <w:rPr>
                <w:rFonts w:hint="eastAsia" w:ascii="仿宋" w:hAnsi="仿宋" w:eastAsia="仿宋" w:cs="仿宋"/>
              </w:rPr>
            </w:pPr>
            <w:r>
              <w:rPr>
                <w:rFonts w:hint="eastAsia" w:ascii="仿宋" w:hAnsi="仿宋" w:eastAsia="仿宋" w:cs="仿宋"/>
              </w:rPr>
              <w:t>丰纪办字（2018）1号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rPr>
              <w:t>案件办结</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提高行政效率</w:t>
            </w:r>
          </w:p>
        </w:tc>
        <w:tc>
          <w:tcPr>
            <w:tcW w:w="2551" w:type="dxa"/>
            <w:vAlign w:val="center"/>
          </w:tcPr>
          <w:p>
            <w:pPr>
              <w:pStyle w:val="16"/>
              <w:rPr>
                <w:rFonts w:hint="eastAsia" w:ascii="仿宋" w:hAnsi="仿宋" w:eastAsia="仿宋" w:cs="仿宋"/>
              </w:rPr>
            </w:pPr>
            <w:r>
              <w:rPr>
                <w:rFonts w:hint="eastAsia" w:ascii="仿宋" w:hAnsi="仿宋" w:eastAsia="仿宋" w:cs="仿宋"/>
              </w:rPr>
              <w:t>≥90%</w:t>
            </w:r>
          </w:p>
        </w:tc>
        <w:tc>
          <w:tcPr>
            <w:tcW w:w="2268" w:type="dxa"/>
            <w:vAlign w:val="center"/>
          </w:tcPr>
          <w:p>
            <w:pPr>
              <w:rPr>
                <w:rFonts w:hint="eastAsia" w:ascii="仿宋" w:hAnsi="仿宋" w:eastAsia="仿宋" w:cs="仿宋"/>
              </w:rPr>
            </w:pPr>
            <w:r>
              <w:rPr>
                <w:rFonts w:hint="eastAsia" w:ascii="仿宋" w:hAnsi="仿宋" w:eastAsia="仿宋" w:cs="仿宋"/>
              </w:rPr>
              <w:t>丰纪办字（2018）1号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对案件查办发挥的影响</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对案件查办发挥的影响时间</w:t>
            </w:r>
          </w:p>
        </w:tc>
        <w:tc>
          <w:tcPr>
            <w:tcW w:w="2551" w:type="dxa"/>
            <w:vAlign w:val="center"/>
          </w:tcPr>
          <w:p>
            <w:pPr>
              <w:pStyle w:val="16"/>
              <w:rPr>
                <w:rFonts w:hint="eastAsia" w:ascii="仿宋" w:hAnsi="仿宋" w:eastAsia="仿宋" w:cs="仿宋"/>
              </w:rPr>
            </w:pPr>
            <w:r>
              <w:rPr>
                <w:rFonts w:hint="eastAsia" w:ascii="仿宋" w:hAnsi="仿宋" w:eastAsia="仿宋" w:cs="仿宋"/>
                <w:lang w:val="en-US" w:eastAsia="zh-CN"/>
              </w:rPr>
              <w:t>=3</w:t>
            </w:r>
            <w:r>
              <w:rPr>
                <w:rFonts w:hint="eastAsia" w:ascii="仿宋" w:hAnsi="仿宋" w:eastAsia="仿宋" w:cs="仿宋"/>
                <w:lang w:eastAsia="zh-CN"/>
              </w:rPr>
              <w:t>年</w:t>
            </w:r>
          </w:p>
        </w:tc>
        <w:tc>
          <w:tcPr>
            <w:tcW w:w="2268" w:type="dxa"/>
            <w:vAlign w:val="center"/>
          </w:tcPr>
          <w:p>
            <w:pPr>
              <w:rPr>
                <w:rFonts w:hint="eastAsia" w:ascii="仿宋" w:hAnsi="仿宋" w:eastAsia="仿宋" w:cs="仿宋"/>
              </w:rPr>
            </w:pPr>
            <w:r>
              <w:rPr>
                <w:rFonts w:hint="eastAsia" w:ascii="仿宋" w:hAnsi="仿宋" w:eastAsia="仿宋" w:cs="仿宋"/>
              </w:rPr>
              <w:t>丰纪办字（2018）1号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rPr>
                <w:rFonts w:hint="eastAsia" w:ascii="仿宋" w:hAnsi="仿宋" w:eastAsia="仿宋" w:cs="仿宋"/>
              </w:rPr>
            </w:pPr>
            <w:r>
              <w:rPr>
                <w:rFonts w:hint="eastAsia" w:ascii="仿宋" w:hAnsi="仿宋" w:eastAsia="仿宋" w:cs="仿宋"/>
              </w:rPr>
              <w:t>群众满意率（%）</w:t>
            </w:r>
            <w:r>
              <w:rPr>
                <w:rFonts w:hint="eastAsia" w:ascii="仿宋" w:hAnsi="仿宋" w:eastAsia="仿宋" w:cs="仿宋"/>
              </w:rPr>
              <w:tab/>
            </w:r>
            <w:r>
              <w:rPr>
                <w:rFonts w:hint="eastAsia" w:ascii="仿宋" w:hAnsi="仿宋" w:eastAsia="仿宋" w:cs="仿宋"/>
              </w:rPr>
              <w:t>满意、比较满意人数占群众人数的比率</w:t>
            </w:r>
            <w:r>
              <w:rPr>
                <w:rFonts w:hint="eastAsia" w:ascii="仿宋" w:hAnsi="仿宋" w:eastAsia="仿宋" w:cs="仿宋"/>
              </w:rPr>
              <w:tab/>
            </w:r>
            <w:r>
              <w:rPr>
                <w:rFonts w:hint="eastAsia" w:ascii="仿宋" w:hAnsi="仿宋" w:eastAsia="仿宋" w:cs="仿宋"/>
              </w:rPr>
              <w:t>≥</w:t>
            </w:r>
          </w:p>
          <w:p>
            <w:pPr>
              <w:pStyle w:val="16"/>
              <w:rPr>
                <w:rFonts w:hint="eastAsia" w:ascii="仿宋" w:hAnsi="仿宋" w:eastAsia="仿宋" w:cs="仿宋"/>
              </w:rPr>
            </w:pPr>
          </w:p>
        </w:tc>
        <w:tc>
          <w:tcPr>
            <w:tcW w:w="2835" w:type="dxa"/>
            <w:vAlign w:val="center"/>
          </w:tcPr>
          <w:p>
            <w:pPr>
              <w:pStyle w:val="16"/>
              <w:rPr>
                <w:rFonts w:hint="eastAsia" w:ascii="仿宋" w:hAnsi="仿宋" w:eastAsia="仿宋" w:cs="仿宋"/>
              </w:rPr>
            </w:pPr>
            <w:r>
              <w:rPr>
                <w:rFonts w:hint="eastAsia" w:ascii="仿宋" w:hAnsi="仿宋" w:eastAsia="仿宋" w:cs="仿宋"/>
              </w:rPr>
              <w:t>满意、比较满意人数占群众人数的比率</w:t>
            </w:r>
          </w:p>
        </w:tc>
        <w:tc>
          <w:tcPr>
            <w:tcW w:w="2551" w:type="dxa"/>
            <w:vAlign w:val="center"/>
          </w:tcPr>
          <w:p>
            <w:pPr>
              <w:pStyle w:val="16"/>
              <w:rPr>
                <w:rFonts w:hint="eastAsia" w:ascii="仿宋" w:hAnsi="仿宋" w:eastAsia="仿宋" w:cs="仿宋"/>
              </w:rPr>
            </w:pPr>
            <w:r>
              <w:rPr>
                <w:rFonts w:hint="eastAsia" w:ascii="仿宋" w:hAnsi="仿宋" w:eastAsia="仿宋" w:cs="仿宋"/>
              </w:rPr>
              <w:t>≥90%</w:t>
            </w:r>
          </w:p>
        </w:tc>
        <w:tc>
          <w:tcPr>
            <w:tcW w:w="2268" w:type="dxa"/>
            <w:vAlign w:val="center"/>
          </w:tcPr>
          <w:p>
            <w:pPr>
              <w:rPr>
                <w:rFonts w:hint="eastAsia" w:ascii="仿宋" w:hAnsi="仿宋" w:eastAsia="仿宋" w:cs="仿宋"/>
              </w:rPr>
            </w:pPr>
            <w:r>
              <w:rPr>
                <w:rFonts w:hint="eastAsia" w:ascii="仿宋" w:hAnsi="仿宋" w:eastAsia="仿宋" w:cs="仿宋"/>
              </w:rPr>
              <w:t>丰纪办字（2018）1号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、纪委及监察委大案要案经费项目绩效目标表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为纪检监察机关提供经费保障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center"/>
          </w:tcPr>
          <w:p>
            <w:pPr>
              <w:pStyle w:val="16"/>
              <w:rPr>
                <w:rFonts w:hint="eastAsia" w:ascii="仿宋" w:hAnsi="仿宋" w:eastAsia="仿宋" w:cs="仿宋"/>
              </w:rPr>
            </w:pPr>
            <w:r>
              <w:rPr>
                <w:rFonts w:hint="eastAsia" w:ascii="仿宋" w:hAnsi="仿宋" w:eastAsia="仿宋" w:cs="仿宋"/>
              </w:rPr>
              <w:t>办理案件增长率（%）</w:t>
            </w:r>
          </w:p>
        </w:tc>
        <w:tc>
          <w:tcPr>
            <w:tcW w:w="2835" w:type="dxa"/>
            <w:vAlign w:val="center"/>
          </w:tcPr>
          <w:p>
            <w:pPr>
              <w:pStyle w:val="16"/>
              <w:rPr>
                <w:rFonts w:hint="eastAsia" w:ascii="仿宋" w:hAnsi="仿宋" w:eastAsia="仿宋" w:cs="仿宋"/>
              </w:rPr>
            </w:pPr>
            <w:r>
              <w:rPr>
                <w:rFonts w:hint="eastAsia" w:ascii="仿宋" w:hAnsi="仿宋" w:eastAsia="仿宋" w:cs="仿宋"/>
              </w:rPr>
              <w:t>实际办理案件数量比上年增长的幅度</w:t>
            </w:r>
          </w:p>
        </w:tc>
        <w:tc>
          <w:tcPr>
            <w:tcW w:w="2551" w:type="dxa"/>
            <w:vAlign w:val="center"/>
          </w:tcPr>
          <w:p>
            <w:pPr>
              <w:pStyle w:val="16"/>
              <w:rPr>
                <w:rFonts w:hint="eastAsia" w:ascii="仿宋" w:hAnsi="仿宋" w:eastAsia="仿宋" w:cs="仿宋"/>
              </w:rPr>
            </w:pPr>
            <w:r>
              <w:rPr>
                <w:rFonts w:hint="eastAsia" w:ascii="仿宋" w:hAnsi="仿宋" w:eastAsia="仿宋" w:cs="仿宋"/>
              </w:rPr>
              <w:t>≥20%</w:t>
            </w:r>
          </w:p>
        </w:tc>
        <w:tc>
          <w:tcPr>
            <w:tcW w:w="2268"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rPr>
              <w:t>预算项目申请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rPr>
                <w:rFonts w:hint="eastAsia" w:ascii="仿宋" w:hAnsi="仿宋" w:eastAsia="仿宋" w:cs="仿宋"/>
              </w:rPr>
            </w:pPr>
            <w:r>
              <w:rPr>
                <w:rFonts w:hint="eastAsia" w:ascii="仿宋" w:hAnsi="仿宋" w:eastAsia="仿宋" w:cs="仿宋"/>
              </w:rPr>
              <w:t>案件查办率（%）</w:t>
            </w:r>
          </w:p>
        </w:tc>
        <w:tc>
          <w:tcPr>
            <w:tcW w:w="2835" w:type="dxa"/>
            <w:vAlign w:val="center"/>
          </w:tcPr>
          <w:p>
            <w:pPr>
              <w:pStyle w:val="16"/>
              <w:rPr>
                <w:rFonts w:hint="eastAsia" w:ascii="仿宋" w:hAnsi="仿宋" w:eastAsia="仿宋" w:cs="仿宋"/>
              </w:rPr>
            </w:pPr>
            <w:r>
              <w:rPr>
                <w:rFonts w:hint="eastAsia" w:ascii="仿宋" w:hAnsi="仿宋" w:eastAsia="仿宋" w:cs="仿宋"/>
              </w:rPr>
              <w:t>查办案件数占受理案件数的比例</w:t>
            </w:r>
          </w:p>
        </w:tc>
        <w:tc>
          <w:tcPr>
            <w:tcW w:w="2551" w:type="dxa"/>
            <w:vAlign w:val="center"/>
          </w:tcPr>
          <w:p>
            <w:pPr>
              <w:pStyle w:val="16"/>
              <w:rPr>
                <w:rFonts w:hint="eastAsia" w:ascii="仿宋" w:hAnsi="仿宋" w:eastAsia="仿宋" w:cs="仿宋"/>
              </w:rPr>
            </w:pPr>
            <w:r>
              <w:rPr>
                <w:rFonts w:hint="eastAsia" w:ascii="仿宋" w:hAnsi="仿宋" w:eastAsia="仿宋" w:cs="仿宋"/>
              </w:rPr>
              <w:t>≥80%</w:t>
            </w:r>
          </w:p>
        </w:tc>
        <w:tc>
          <w:tcPr>
            <w:tcW w:w="2268"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rPr>
              <w:t>预算项目申请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案件办结及时程度</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案件办结及时程度情况</w:t>
            </w:r>
          </w:p>
        </w:tc>
        <w:tc>
          <w:tcPr>
            <w:tcW w:w="2551" w:type="dxa"/>
            <w:vAlign w:val="center"/>
          </w:tcPr>
          <w:p>
            <w:pPr>
              <w:pStyle w:val="16"/>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80</w:t>
            </w:r>
            <w:r>
              <w:rPr>
                <w:rFonts w:hint="eastAsia" w:ascii="仿宋" w:hAnsi="仿宋" w:eastAsia="仿宋" w:cs="仿宋"/>
              </w:rPr>
              <w:t>%</w:t>
            </w:r>
          </w:p>
        </w:tc>
        <w:tc>
          <w:tcPr>
            <w:tcW w:w="2268"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rPr>
              <w:t>预算项目申请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center"/>
          </w:tcPr>
          <w:p>
            <w:pPr>
              <w:pStyle w:val="16"/>
              <w:rPr>
                <w:rFonts w:hint="eastAsia" w:ascii="仿宋" w:hAnsi="仿宋" w:eastAsia="仿宋" w:cs="仿宋"/>
              </w:rPr>
            </w:pPr>
            <w:r>
              <w:rPr>
                <w:rFonts w:hint="eastAsia" w:ascii="仿宋" w:hAnsi="仿宋" w:eastAsia="仿宋" w:cs="仿宋"/>
              </w:rPr>
              <w:t>案件办结</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提高行政效率</w:t>
            </w:r>
          </w:p>
        </w:tc>
        <w:tc>
          <w:tcPr>
            <w:tcW w:w="2551" w:type="dxa"/>
            <w:vAlign w:val="center"/>
          </w:tcPr>
          <w:p>
            <w:pPr>
              <w:pStyle w:val="16"/>
              <w:rPr>
                <w:rFonts w:hint="eastAsia" w:ascii="仿宋" w:hAnsi="仿宋" w:eastAsia="仿宋" w:cs="仿宋"/>
              </w:rPr>
            </w:pPr>
            <w:r>
              <w:rPr>
                <w:rFonts w:hint="eastAsia" w:ascii="仿宋" w:hAnsi="仿宋" w:eastAsia="仿宋" w:cs="仿宋"/>
              </w:rPr>
              <w:t>≥</w:t>
            </w:r>
            <w:r>
              <w:rPr>
                <w:rFonts w:hint="eastAsia" w:ascii="仿宋" w:hAnsi="仿宋" w:eastAsia="仿宋" w:cs="仿宋"/>
                <w:lang w:val="en-US" w:eastAsia="zh-CN"/>
              </w:rPr>
              <w:t>20</w:t>
            </w:r>
            <w:r>
              <w:rPr>
                <w:rFonts w:hint="eastAsia" w:ascii="仿宋" w:hAnsi="仿宋" w:eastAsia="仿宋" w:cs="仿宋"/>
              </w:rPr>
              <w:t>%</w:t>
            </w:r>
          </w:p>
        </w:tc>
        <w:tc>
          <w:tcPr>
            <w:tcW w:w="2268"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rPr>
              <w:t>预算项目申请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对案件查办发挥的影响</w:t>
            </w:r>
          </w:p>
        </w:tc>
        <w:tc>
          <w:tcPr>
            <w:tcW w:w="2835" w:type="dxa"/>
            <w:vAlign w:val="top"/>
          </w:tcPr>
          <w:p>
            <w:pPr>
              <w:keepNext w:val="0"/>
              <w:keepLines w:val="0"/>
              <w:widowControl/>
              <w:suppressLineNumbers w:val="0"/>
              <w:jc w:val="left"/>
              <w:textAlignment w:val="top"/>
              <w:rPr>
                <w:rFonts w:hint="eastAsia" w:ascii="仿宋" w:hAnsi="仿宋" w:eastAsia="仿宋" w:cs="仿宋"/>
              </w:rPr>
            </w:pPr>
            <w:r>
              <w:rPr>
                <w:rFonts w:hint="eastAsia" w:ascii="仿宋" w:hAnsi="仿宋" w:eastAsia="仿宋" w:cs="仿宋"/>
                <w:i w:val="0"/>
                <w:iCs w:val="0"/>
                <w:color w:val="000000" w:themeColor="text1"/>
                <w:kern w:val="0"/>
                <w:sz w:val="22"/>
                <w:szCs w:val="22"/>
                <w:u w:val="none"/>
                <w:lang w:val="en-US" w:eastAsia="zh-CN" w:bidi="ar"/>
              </w:rPr>
              <w:t>对案件查办发挥的影响时间</w:t>
            </w:r>
          </w:p>
        </w:tc>
        <w:tc>
          <w:tcPr>
            <w:tcW w:w="2551" w:type="dxa"/>
            <w:vAlign w:val="center"/>
          </w:tcPr>
          <w:p>
            <w:pPr>
              <w:pStyle w:val="16"/>
              <w:rPr>
                <w:rFonts w:hint="eastAsia" w:ascii="仿宋" w:hAnsi="仿宋" w:eastAsia="仿宋" w:cs="仿宋"/>
              </w:rPr>
            </w:pPr>
            <w:r>
              <w:rPr>
                <w:rFonts w:hint="eastAsia" w:ascii="仿宋" w:hAnsi="仿宋" w:eastAsia="仿宋" w:cs="仿宋"/>
                <w:lang w:val="en-US" w:eastAsia="zh-CN"/>
              </w:rPr>
              <w:t>=3年</w:t>
            </w:r>
          </w:p>
        </w:tc>
        <w:tc>
          <w:tcPr>
            <w:tcW w:w="2268"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rPr>
              <w:t>预算项目申请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rPr>
                <w:rFonts w:hint="eastAsia" w:ascii="仿宋" w:hAnsi="仿宋" w:eastAsia="仿宋" w:cs="仿宋"/>
              </w:rPr>
            </w:pPr>
            <w:r>
              <w:rPr>
                <w:rFonts w:hint="eastAsia" w:ascii="仿宋" w:hAnsi="仿宋" w:eastAsia="仿宋" w:cs="仿宋"/>
              </w:rPr>
              <w:t>群众满意率（%）</w:t>
            </w:r>
          </w:p>
        </w:tc>
        <w:tc>
          <w:tcPr>
            <w:tcW w:w="2835" w:type="dxa"/>
            <w:vAlign w:val="center"/>
          </w:tcPr>
          <w:p>
            <w:pPr>
              <w:pStyle w:val="16"/>
              <w:rPr>
                <w:rFonts w:hint="eastAsia" w:ascii="仿宋" w:hAnsi="仿宋" w:eastAsia="仿宋" w:cs="仿宋"/>
              </w:rPr>
            </w:pPr>
            <w:r>
              <w:rPr>
                <w:rFonts w:hint="eastAsia" w:ascii="仿宋" w:hAnsi="仿宋" w:eastAsia="仿宋" w:cs="仿宋"/>
              </w:rPr>
              <w:t>满意、比较满意人数占群众人数的比率</w:t>
            </w:r>
          </w:p>
        </w:tc>
        <w:tc>
          <w:tcPr>
            <w:tcW w:w="2551" w:type="dxa"/>
            <w:vAlign w:val="center"/>
          </w:tcPr>
          <w:p>
            <w:pPr>
              <w:pStyle w:val="16"/>
              <w:rPr>
                <w:rFonts w:hint="eastAsia" w:ascii="仿宋" w:hAnsi="仿宋" w:eastAsia="仿宋" w:cs="仿宋"/>
              </w:rPr>
            </w:pPr>
            <w:r>
              <w:rPr>
                <w:rFonts w:hint="eastAsia" w:ascii="仿宋" w:hAnsi="仿宋" w:eastAsia="仿宋" w:cs="仿宋"/>
              </w:rPr>
              <w:t>≥90%</w:t>
            </w:r>
          </w:p>
        </w:tc>
        <w:tc>
          <w:tcPr>
            <w:tcW w:w="2268" w:type="dxa"/>
            <w:vAlign w:val="center"/>
          </w:tcPr>
          <w:p>
            <w:pPr>
              <w:keepNext w:val="0"/>
              <w:keepLines w:val="0"/>
              <w:widowControl/>
              <w:suppressLineNumbers w:val="0"/>
              <w:jc w:val="left"/>
              <w:textAlignment w:val="center"/>
              <w:rPr>
                <w:rFonts w:hint="eastAsia" w:ascii="仿宋" w:hAnsi="仿宋" w:eastAsia="仿宋" w:cs="仿宋"/>
              </w:rPr>
            </w:pPr>
            <w:r>
              <w:rPr>
                <w:rFonts w:hint="eastAsia" w:ascii="仿宋" w:hAnsi="仿宋" w:eastAsia="仿宋" w:cs="仿宋"/>
                <w:i w:val="0"/>
                <w:iCs w:val="0"/>
                <w:color w:val="000000"/>
                <w:kern w:val="0"/>
                <w:sz w:val="22"/>
                <w:szCs w:val="22"/>
                <w:u w:val="none"/>
                <w:lang w:val="en-US" w:eastAsia="zh-CN" w:bidi="ar"/>
              </w:rPr>
              <w:t>预算项目申请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、监察体制及派驻机构改革工作经费绩效目标表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4"/>
            </w:pPr>
            <w:r>
              <w:rPr>
                <w:rFonts w:hint="eastAsia"/>
              </w:rPr>
              <w:t>绩效目标</w:t>
            </w:r>
          </w:p>
        </w:tc>
        <w:tc>
          <w:tcPr>
            <w:tcW w:w="12756" w:type="dxa"/>
            <w:tcBorders>
              <w:top w:val="single" w:color="000000" w:sz="6" w:space="0"/>
              <w:bottom w:val="single" w:color="FFFFFF" w:sz="6" w:space="0"/>
            </w:tcBorders>
            <w:vAlign w:val="center"/>
          </w:tcPr>
          <w:p>
            <w:pPr>
              <w:pStyle w:val="16"/>
            </w:pPr>
            <w:r>
              <w:t>1.</w:t>
            </w:r>
            <w:r>
              <w:rPr>
                <w:rFonts w:hint="eastAsia"/>
              </w:rPr>
              <w:t>目标</w:t>
            </w:r>
            <w:r>
              <w:t>2</w:t>
            </w:r>
            <w:r>
              <w:rPr>
                <w:rFonts w:hint="eastAsia"/>
              </w:rPr>
              <w:t>：开展纪检监察信息网络分机保护建设项目，为委局机关全体纪检监察干部配备保密电脑等设备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rPr>
                <w:rFonts w:hint="eastAsia"/>
              </w:rPr>
              <w:t>一级指标</w:t>
            </w:r>
          </w:p>
        </w:tc>
        <w:tc>
          <w:tcPr>
            <w:tcW w:w="2268" w:type="dxa"/>
            <w:vAlign w:val="center"/>
          </w:tcPr>
          <w:p>
            <w:pPr>
              <w:pStyle w:val="14"/>
            </w:pPr>
            <w:r>
              <w:rPr>
                <w:rFonts w:hint="eastAsia"/>
              </w:rPr>
              <w:t>二级指标</w:t>
            </w:r>
          </w:p>
        </w:tc>
        <w:tc>
          <w:tcPr>
            <w:tcW w:w="2835" w:type="dxa"/>
            <w:vAlign w:val="center"/>
          </w:tcPr>
          <w:p>
            <w:pPr>
              <w:pStyle w:val="14"/>
            </w:pPr>
            <w:r>
              <w:rPr>
                <w:rFonts w:hint="eastAsia"/>
              </w:rPr>
              <w:t>三级指标</w:t>
            </w:r>
          </w:p>
        </w:tc>
        <w:tc>
          <w:tcPr>
            <w:tcW w:w="2835" w:type="dxa"/>
            <w:vAlign w:val="center"/>
          </w:tcPr>
          <w:p>
            <w:pPr>
              <w:pStyle w:val="14"/>
            </w:pPr>
            <w:r>
              <w:rPr>
                <w:rFonts w:hint="eastAsia"/>
              </w:rPr>
              <w:t>绩效指标描述</w:t>
            </w:r>
          </w:p>
        </w:tc>
        <w:tc>
          <w:tcPr>
            <w:tcW w:w="2551" w:type="dxa"/>
            <w:vAlign w:val="center"/>
          </w:tcPr>
          <w:p>
            <w:pPr>
              <w:pStyle w:val="14"/>
            </w:pPr>
            <w:r>
              <w:rPr>
                <w:rFonts w:hint="eastAsia"/>
              </w:rPr>
              <w:t>指标值</w:t>
            </w:r>
          </w:p>
        </w:tc>
        <w:tc>
          <w:tcPr>
            <w:tcW w:w="2268" w:type="dxa"/>
            <w:vAlign w:val="center"/>
          </w:tcPr>
          <w:p>
            <w:pPr>
              <w:pStyle w:val="14"/>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产出指标</w:t>
            </w:r>
          </w:p>
        </w:tc>
        <w:tc>
          <w:tcPr>
            <w:tcW w:w="2268" w:type="dxa"/>
            <w:vAlign w:val="center"/>
          </w:tcPr>
          <w:p>
            <w:pPr>
              <w:pStyle w:val="16"/>
            </w:pPr>
            <w:r>
              <w:rPr>
                <w:rFonts w:hint="eastAsia"/>
              </w:rPr>
              <w:t>数量指标</w:t>
            </w:r>
          </w:p>
        </w:tc>
        <w:tc>
          <w:tcPr>
            <w:tcW w:w="2835" w:type="dxa"/>
            <w:vAlign w:val="top"/>
          </w:tcPr>
          <w:p>
            <w:pPr>
              <w:keepNext w:val="0"/>
              <w:keepLines w:val="0"/>
              <w:widowControl/>
              <w:suppressLineNumbers w:val="0"/>
              <w:jc w:val="left"/>
              <w:textAlignment w:val="top"/>
            </w:pPr>
            <w:r>
              <w:rPr>
                <w:rFonts w:hint="eastAsia" w:ascii="仿宋" w:hAnsi="仿宋" w:eastAsia="仿宋" w:cs="仿宋"/>
                <w:i w:val="0"/>
                <w:iCs w:val="0"/>
                <w:color w:val="000000" w:themeColor="text1"/>
                <w:kern w:val="0"/>
                <w:sz w:val="22"/>
                <w:szCs w:val="22"/>
                <w:u w:val="none"/>
                <w:lang w:val="en-US" w:eastAsia="zh-CN" w:bidi="ar"/>
              </w:rPr>
              <w:t>工作任务</w:t>
            </w:r>
          </w:p>
        </w:tc>
        <w:tc>
          <w:tcPr>
            <w:tcW w:w="2835" w:type="dxa"/>
            <w:vAlign w:val="top"/>
          </w:tcPr>
          <w:p>
            <w:pPr>
              <w:keepNext w:val="0"/>
              <w:keepLines w:val="0"/>
              <w:widowControl/>
              <w:suppressLineNumbers w:val="0"/>
              <w:jc w:val="left"/>
              <w:textAlignment w:val="top"/>
            </w:pPr>
            <w:r>
              <w:rPr>
                <w:rFonts w:hint="eastAsia" w:ascii="仿宋" w:hAnsi="仿宋" w:eastAsia="仿宋" w:cs="仿宋"/>
                <w:i w:val="0"/>
                <w:iCs w:val="0"/>
                <w:color w:val="000000" w:themeColor="text1"/>
                <w:kern w:val="0"/>
                <w:sz w:val="22"/>
                <w:szCs w:val="22"/>
                <w:u w:val="none"/>
                <w:lang w:val="en-US" w:eastAsia="zh-CN" w:bidi="ar"/>
              </w:rPr>
              <w:t>完成的工作任务占工作总量的比率</w:t>
            </w:r>
          </w:p>
        </w:tc>
        <w:tc>
          <w:tcPr>
            <w:tcW w:w="2551" w:type="dxa"/>
            <w:vAlign w:val="center"/>
          </w:tcPr>
          <w:p>
            <w:pPr>
              <w:pStyle w:val="16"/>
            </w:pPr>
            <w:r>
              <w:rPr>
                <w:rFonts w:hint="eastAsia" w:ascii="仿宋" w:hAnsi="仿宋" w:eastAsia="仿宋" w:cs="仿宋"/>
              </w:rPr>
              <w:t>≥80%</w:t>
            </w:r>
          </w:p>
        </w:tc>
        <w:tc>
          <w:tcPr>
            <w:tcW w:w="2268" w:type="dxa"/>
            <w:vAlign w:val="center"/>
          </w:tcPr>
          <w:p>
            <w:pPr>
              <w:keepNext w:val="0"/>
              <w:keepLines w:val="0"/>
              <w:widowControl/>
              <w:suppressLineNumbers w:val="0"/>
              <w:jc w:val="left"/>
              <w:textAlignment w:val="center"/>
            </w:pPr>
            <w:r>
              <w:rPr>
                <w:rFonts w:hint="eastAsia" w:ascii="仿宋" w:hAnsi="仿宋" w:eastAsia="仿宋" w:cs="仿宋"/>
                <w:i w:val="0"/>
                <w:iCs w:val="0"/>
                <w:color w:val="000000" w:themeColor="text1"/>
                <w:kern w:val="0"/>
                <w:sz w:val="24"/>
                <w:szCs w:val="24"/>
                <w:u w:val="none"/>
                <w:lang w:val="en-US" w:eastAsia="zh-CN" w:bidi="ar"/>
              </w:rPr>
              <w:t>丰发（2017）34号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质量指标</w:t>
            </w:r>
          </w:p>
        </w:tc>
        <w:tc>
          <w:tcPr>
            <w:tcW w:w="2835" w:type="dxa"/>
            <w:vAlign w:val="center"/>
          </w:tcPr>
          <w:p>
            <w:pPr>
              <w:pStyle w:val="16"/>
            </w:pPr>
            <w:r>
              <w:rPr>
                <w:rFonts w:hint="eastAsia" w:ascii="仿宋" w:hAnsi="仿宋" w:eastAsia="仿宋" w:cs="仿宋"/>
                <w:color w:val="000000" w:themeColor="text1"/>
              </w:rPr>
              <w:t>综合事务保障率（%）</w:t>
            </w:r>
          </w:p>
        </w:tc>
        <w:tc>
          <w:tcPr>
            <w:tcW w:w="2835" w:type="dxa"/>
            <w:vAlign w:val="center"/>
          </w:tcPr>
          <w:p>
            <w:pPr>
              <w:pStyle w:val="16"/>
            </w:pPr>
            <w:r>
              <w:rPr>
                <w:rFonts w:hint="eastAsia" w:ascii="仿宋" w:hAnsi="仿宋" w:eastAsia="仿宋" w:cs="仿宋"/>
                <w:color w:val="000000" w:themeColor="text1"/>
              </w:rPr>
              <w:t>综合事务工作任务完成情况</w:t>
            </w:r>
          </w:p>
        </w:tc>
        <w:tc>
          <w:tcPr>
            <w:tcW w:w="2551" w:type="dxa"/>
            <w:vAlign w:val="center"/>
          </w:tcPr>
          <w:p>
            <w:pPr>
              <w:pStyle w:val="16"/>
            </w:pPr>
            <w:r>
              <w:rPr>
                <w:rFonts w:hint="eastAsia" w:ascii="仿宋" w:hAnsi="仿宋" w:eastAsia="仿宋" w:cs="仿宋"/>
              </w:rPr>
              <w:t>≥90%</w:t>
            </w:r>
          </w:p>
        </w:tc>
        <w:tc>
          <w:tcPr>
            <w:tcW w:w="2268" w:type="dxa"/>
            <w:vAlign w:val="center"/>
          </w:tcPr>
          <w:p>
            <w:pPr>
              <w:keepNext w:val="0"/>
              <w:keepLines w:val="0"/>
              <w:widowControl/>
              <w:suppressLineNumbers w:val="0"/>
              <w:jc w:val="left"/>
              <w:textAlignment w:val="center"/>
            </w:pPr>
            <w:r>
              <w:rPr>
                <w:rFonts w:hint="eastAsia" w:ascii="仿宋" w:hAnsi="仿宋" w:eastAsia="仿宋" w:cs="仿宋"/>
                <w:i w:val="0"/>
                <w:iCs w:val="0"/>
                <w:color w:val="000000" w:themeColor="text1"/>
                <w:kern w:val="0"/>
                <w:sz w:val="24"/>
                <w:szCs w:val="24"/>
                <w:u w:val="none"/>
                <w:lang w:val="en-US" w:eastAsia="zh-CN" w:bidi="ar"/>
              </w:rPr>
              <w:t>丰发（2017）34号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时效指标</w:t>
            </w:r>
          </w:p>
        </w:tc>
        <w:tc>
          <w:tcPr>
            <w:tcW w:w="2835" w:type="dxa"/>
            <w:vAlign w:val="top"/>
          </w:tcPr>
          <w:p>
            <w:pPr>
              <w:keepNext w:val="0"/>
              <w:keepLines w:val="0"/>
              <w:widowControl/>
              <w:suppressLineNumbers w:val="0"/>
              <w:jc w:val="left"/>
              <w:textAlignment w:val="top"/>
            </w:pPr>
            <w:r>
              <w:rPr>
                <w:rFonts w:hint="eastAsia" w:ascii="仿宋" w:hAnsi="仿宋" w:eastAsia="仿宋" w:cs="仿宋"/>
                <w:i w:val="0"/>
                <w:iCs w:val="0"/>
                <w:color w:val="000000" w:themeColor="text1"/>
                <w:kern w:val="0"/>
                <w:sz w:val="22"/>
                <w:szCs w:val="22"/>
                <w:u w:val="none"/>
                <w:lang w:val="en-US" w:eastAsia="zh-CN" w:bidi="ar"/>
              </w:rPr>
              <w:t>案件办结及时程度</w:t>
            </w:r>
          </w:p>
        </w:tc>
        <w:tc>
          <w:tcPr>
            <w:tcW w:w="2835" w:type="dxa"/>
            <w:vAlign w:val="top"/>
          </w:tcPr>
          <w:p>
            <w:pPr>
              <w:keepNext w:val="0"/>
              <w:keepLines w:val="0"/>
              <w:widowControl/>
              <w:suppressLineNumbers w:val="0"/>
              <w:jc w:val="left"/>
              <w:textAlignment w:val="top"/>
            </w:pPr>
            <w:r>
              <w:rPr>
                <w:rFonts w:hint="eastAsia" w:ascii="仿宋" w:hAnsi="仿宋" w:eastAsia="仿宋" w:cs="仿宋"/>
                <w:i w:val="0"/>
                <w:iCs w:val="0"/>
                <w:color w:val="000000" w:themeColor="text1"/>
                <w:kern w:val="0"/>
                <w:sz w:val="22"/>
                <w:szCs w:val="22"/>
                <w:u w:val="none"/>
                <w:lang w:val="en-US" w:eastAsia="zh-CN" w:bidi="ar"/>
              </w:rPr>
              <w:t>案件办结及时程度情况</w:t>
            </w:r>
          </w:p>
        </w:tc>
        <w:tc>
          <w:tcPr>
            <w:tcW w:w="2551" w:type="dxa"/>
            <w:vAlign w:val="center"/>
          </w:tcPr>
          <w:p>
            <w:pPr>
              <w:pStyle w:val="16"/>
            </w:pPr>
            <w:r>
              <w:rPr>
                <w:rFonts w:hint="eastAsia" w:ascii="仿宋" w:hAnsi="仿宋" w:eastAsia="仿宋" w:cs="仿宋"/>
              </w:rPr>
              <w:t>≥</w:t>
            </w:r>
            <w:r>
              <w:rPr>
                <w:rFonts w:hint="eastAsia" w:ascii="仿宋" w:hAnsi="仿宋" w:eastAsia="仿宋" w:cs="仿宋"/>
                <w:lang w:val="en-US" w:eastAsia="zh-CN"/>
              </w:rPr>
              <w:t>80</w:t>
            </w:r>
            <w:r>
              <w:rPr>
                <w:rFonts w:hint="eastAsia" w:ascii="仿宋" w:hAnsi="仿宋" w:eastAsia="仿宋" w:cs="仿宋"/>
              </w:rPr>
              <w:t>%</w:t>
            </w:r>
          </w:p>
        </w:tc>
        <w:tc>
          <w:tcPr>
            <w:tcW w:w="2268" w:type="dxa"/>
            <w:vAlign w:val="center"/>
          </w:tcPr>
          <w:p>
            <w:pPr>
              <w:keepNext w:val="0"/>
              <w:keepLines w:val="0"/>
              <w:widowControl/>
              <w:suppressLineNumbers w:val="0"/>
              <w:jc w:val="left"/>
              <w:textAlignment w:val="center"/>
            </w:pPr>
            <w:r>
              <w:rPr>
                <w:rFonts w:hint="eastAsia" w:ascii="仿宋" w:hAnsi="仿宋" w:eastAsia="仿宋" w:cs="仿宋"/>
                <w:i w:val="0"/>
                <w:iCs w:val="0"/>
                <w:color w:val="000000" w:themeColor="text1"/>
                <w:kern w:val="0"/>
                <w:sz w:val="24"/>
                <w:szCs w:val="24"/>
                <w:u w:val="none"/>
                <w:lang w:val="en-US" w:eastAsia="zh-CN" w:bidi="ar"/>
              </w:rPr>
              <w:t>丰发（2017）34号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rPr>
                <w:rFonts w:hint="eastAsia"/>
              </w:rPr>
              <w:t>效益指标</w:t>
            </w:r>
          </w:p>
        </w:tc>
        <w:tc>
          <w:tcPr>
            <w:tcW w:w="2268" w:type="dxa"/>
            <w:vAlign w:val="center"/>
          </w:tcPr>
          <w:p>
            <w:pPr>
              <w:pStyle w:val="16"/>
            </w:pPr>
            <w:r>
              <w:rPr>
                <w:rFonts w:hint="eastAsia"/>
              </w:rPr>
              <w:t>社会效益指标</w:t>
            </w:r>
          </w:p>
        </w:tc>
        <w:tc>
          <w:tcPr>
            <w:tcW w:w="2835" w:type="dxa"/>
            <w:vAlign w:val="top"/>
          </w:tcPr>
          <w:p>
            <w:pPr>
              <w:keepNext w:val="0"/>
              <w:keepLines w:val="0"/>
              <w:widowControl/>
              <w:suppressLineNumbers w:val="0"/>
              <w:jc w:val="left"/>
              <w:textAlignment w:val="top"/>
            </w:pPr>
            <w:r>
              <w:rPr>
                <w:rFonts w:hint="eastAsia" w:ascii="仿宋" w:hAnsi="仿宋" w:eastAsia="仿宋" w:cs="仿宋"/>
                <w:i w:val="0"/>
                <w:iCs w:val="0"/>
                <w:color w:val="000000" w:themeColor="text1"/>
                <w:kern w:val="0"/>
                <w:sz w:val="22"/>
                <w:szCs w:val="22"/>
                <w:u w:val="none"/>
                <w:lang w:val="en-US" w:eastAsia="zh-CN" w:bidi="ar"/>
              </w:rPr>
              <w:t>案件办结</w:t>
            </w:r>
          </w:p>
        </w:tc>
        <w:tc>
          <w:tcPr>
            <w:tcW w:w="2835" w:type="dxa"/>
            <w:vAlign w:val="top"/>
          </w:tcPr>
          <w:p>
            <w:pPr>
              <w:keepNext w:val="0"/>
              <w:keepLines w:val="0"/>
              <w:widowControl/>
              <w:suppressLineNumbers w:val="0"/>
              <w:jc w:val="left"/>
              <w:textAlignment w:val="top"/>
            </w:pPr>
            <w:r>
              <w:rPr>
                <w:rFonts w:hint="eastAsia" w:ascii="仿宋" w:hAnsi="仿宋" w:eastAsia="仿宋" w:cs="仿宋"/>
                <w:i w:val="0"/>
                <w:iCs w:val="0"/>
                <w:color w:val="000000" w:themeColor="text1"/>
                <w:kern w:val="0"/>
                <w:sz w:val="22"/>
                <w:szCs w:val="22"/>
                <w:u w:val="none"/>
                <w:lang w:val="en-US" w:eastAsia="zh-CN" w:bidi="ar"/>
              </w:rPr>
              <w:t>提高行政效率</w:t>
            </w:r>
          </w:p>
        </w:tc>
        <w:tc>
          <w:tcPr>
            <w:tcW w:w="2551" w:type="dxa"/>
            <w:vAlign w:val="center"/>
          </w:tcPr>
          <w:p>
            <w:pPr>
              <w:pStyle w:val="16"/>
            </w:pPr>
            <w:r>
              <w:rPr>
                <w:rFonts w:hint="eastAsia" w:ascii="仿宋" w:hAnsi="仿宋" w:eastAsia="仿宋" w:cs="仿宋"/>
              </w:rPr>
              <w:t>≥80%</w:t>
            </w:r>
          </w:p>
        </w:tc>
        <w:tc>
          <w:tcPr>
            <w:tcW w:w="2268" w:type="dxa"/>
            <w:vAlign w:val="center"/>
          </w:tcPr>
          <w:p>
            <w:pPr>
              <w:keepNext w:val="0"/>
              <w:keepLines w:val="0"/>
              <w:widowControl/>
              <w:suppressLineNumbers w:val="0"/>
              <w:jc w:val="left"/>
              <w:textAlignment w:val="center"/>
            </w:pPr>
            <w:r>
              <w:rPr>
                <w:rFonts w:hint="eastAsia" w:ascii="仿宋" w:hAnsi="仿宋" w:eastAsia="仿宋" w:cs="仿宋"/>
                <w:i w:val="0"/>
                <w:iCs w:val="0"/>
                <w:color w:val="000000" w:themeColor="text1"/>
                <w:kern w:val="0"/>
                <w:sz w:val="24"/>
                <w:szCs w:val="24"/>
                <w:u w:val="none"/>
                <w:lang w:val="en-US" w:eastAsia="zh-CN" w:bidi="ar"/>
              </w:rPr>
              <w:t>丰发（2017）34号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rPr>
                <w:rFonts w:hint="eastAsia"/>
              </w:rPr>
              <w:t>可持续影响指标</w:t>
            </w:r>
          </w:p>
        </w:tc>
        <w:tc>
          <w:tcPr>
            <w:tcW w:w="2835" w:type="dxa"/>
            <w:vAlign w:val="top"/>
          </w:tcPr>
          <w:p>
            <w:pPr>
              <w:keepNext w:val="0"/>
              <w:keepLines w:val="0"/>
              <w:widowControl/>
              <w:suppressLineNumbers w:val="0"/>
              <w:jc w:val="left"/>
              <w:textAlignment w:val="top"/>
            </w:pPr>
            <w:r>
              <w:rPr>
                <w:rFonts w:hint="eastAsia" w:ascii="仿宋" w:hAnsi="仿宋" w:eastAsia="仿宋" w:cs="仿宋"/>
                <w:i w:val="0"/>
                <w:iCs w:val="0"/>
                <w:color w:val="000000" w:themeColor="text1"/>
                <w:kern w:val="0"/>
                <w:sz w:val="22"/>
                <w:szCs w:val="22"/>
                <w:u w:val="none"/>
                <w:lang w:val="en-US" w:eastAsia="zh-CN" w:bidi="ar"/>
              </w:rPr>
              <w:t>对案件查办发挥的影响</w:t>
            </w:r>
          </w:p>
        </w:tc>
        <w:tc>
          <w:tcPr>
            <w:tcW w:w="2835" w:type="dxa"/>
            <w:vAlign w:val="top"/>
          </w:tcPr>
          <w:p>
            <w:pPr>
              <w:keepNext w:val="0"/>
              <w:keepLines w:val="0"/>
              <w:widowControl/>
              <w:suppressLineNumbers w:val="0"/>
              <w:jc w:val="left"/>
              <w:textAlignment w:val="top"/>
            </w:pPr>
            <w:r>
              <w:rPr>
                <w:rFonts w:hint="eastAsia" w:ascii="仿宋" w:hAnsi="仿宋" w:eastAsia="仿宋" w:cs="仿宋"/>
                <w:i w:val="0"/>
                <w:iCs w:val="0"/>
                <w:color w:val="000000" w:themeColor="text1"/>
                <w:kern w:val="0"/>
                <w:sz w:val="22"/>
                <w:szCs w:val="22"/>
                <w:u w:val="none"/>
                <w:lang w:val="en-US" w:eastAsia="zh-CN" w:bidi="ar"/>
              </w:rPr>
              <w:t>对案件查办发挥的影响时间</w:t>
            </w:r>
          </w:p>
        </w:tc>
        <w:tc>
          <w:tcPr>
            <w:tcW w:w="2551" w:type="dxa"/>
            <w:vAlign w:val="center"/>
          </w:tcPr>
          <w:p>
            <w:pPr>
              <w:pStyle w:val="16"/>
            </w:pPr>
            <w:r>
              <w:rPr>
                <w:rFonts w:hint="eastAsia" w:ascii="仿宋" w:hAnsi="仿宋" w:eastAsia="仿宋" w:cs="仿宋"/>
                <w:lang w:val="en-US" w:eastAsia="zh-CN"/>
              </w:rPr>
              <w:t>=3年</w:t>
            </w:r>
          </w:p>
        </w:tc>
        <w:tc>
          <w:tcPr>
            <w:tcW w:w="2268" w:type="dxa"/>
            <w:vAlign w:val="center"/>
          </w:tcPr>
          <w:p>
            <w:pPr>
              <w:keepNext w:val="0"/>
              <w:keepLines w:val="0"/>
              <w:widowControl/>
              <w:suppressLineNumbers w:val="0"/>
              <w:jc w:val="left"/>
              <w:textAlignment w:val="center"/>
            </w:pPr>
            <w:r>
              <w:rPr>
                <w:rFonts w:hint="eastAsia" w:ascii="仿宋" w:hAnsi="仿宋" w:eastAsia="仿宋" w:cs="仿宋"/>
                <w:i w:val="0"/>
                <w:iCs w:val="0"/>
                <w:color w:val="000000" w:themeColor="text1"/>
                <w:kern w:val="0"/>
                <w:sz w:val="24"/>
                <w:szCs w:val="24"/>
                <w:u w:val="none"/>
                <w:lang w:val="en-US" w:eastAsia="zh-CN" w:bidi="ar"/>
              </w:rPr>
              <w:t>丰发（2017）34号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rPr>
                <w:rFonts w:hint="eastAsia"/>
              </w:rPr>
              <w:t>满意度指标</w:t>
            </w:r>
          </w:p>
        </w:tc>
        <w:tc>
          <w:tcPr>
            <w:tcW w:w="2268" w:type="dxa"/>
            <w:vAlign w:val="center"/>
          </w:tcPr>
          <w:p>
            <w:pPr>
              <w:pStyle w:val="16"/>
            </w:pPr>
            <w:r>
              <w:rPr>
                <w:rFonts w:hint="eastAsia"/>
              </w:rPr>
              <w:t>服务对象满意度指标</w:t>
            </w:r>
          </w:p>
        </w:tc>
        <w:tc>
          <w:tcPr>
            <w:tcW w:w="2835" w:type="dxa"/>
            <w:vAlign w:val="center"/>
          </w:tcPr>
          <w:p>
            <w:pPr>
              <w:pStyle w:val="16"/>
            </w:pPr>
            <w:r>
              <w:rPr>
                <w:rFonts w:hint="eastAsia" w:ascii="仿宋" w:hAnsi="仿宋" w:eastAsia="仿宋" w:cs="仿宋"/>
              </w:rPr>
              <w:t>群众满意率（%）</w:t>
            </w:r>
          </w:p>
        </w:tc>
        <w:tc>
          <w:tcPr>
            <w:tcW w:w="2835" w:type="dxa"/>
            <w:vAlign w:val="center"/>
          </w:tcPr>
          <w:p>
            <w:pPr>
              <w:pStyle w:val="16"/>
            </w:pPr>
            <w:r>
              <w:rPr>
                <w:rFonts w:hint="eastAsia" w:ascii="仿宋" w:hAnsi="仿宋" w:eastAsia="仿宋" w:cs="仿宋"/>
              </w:rPr>
              <w:t>满意、比较满意人数占群众人数的比率</w:t>
            </w:r>
          </w:p>
        </w:tc>
        <w:tc>
          <w:tcPr>
            <w:tcW w:w="2551" w:type="dxa"/>
            <w:vAlign w:val="center"/>
          </w:tcPr>
          <w:p>
            <w:pPr>
              <w:pStyle w:val="16"/>
            </w:pPr>
            <w:r>
              <w:rPr>
                <w:rFonts w:hint="eastAsia" w:ascii="仿宋" w:hAnsi="仿宋" w:eastAsia="仿宋" w:cs="仿宋"/>
              </w:rPr>
              <w:t>≥100%</w:t>
            </w:r>
          </w:p>
        </w:tc>
        <w:tc>
          <w:tcPr>
            <w:tcW w:w="2268" w:type="dxa"/>
            <w:vAlign w:val="center"/>
          </w:tcPr>
          <w:p>
            <w:pPr>
              <w:keepNext w:val="0"/>
              <w:keepLines w:val="0"/>
              <w:widowControl/>
              <w:suppressLineNumbers w:val="0"/>
              <w:jc w:val="left"/>
              <w:textAlignment w:val="center"/>
            </w:pPr>
            <w:r>
              <w:rPr>
                <w:rFonts w:hint="eastAsia" w:ascii="仿宋" w:hAnsi="仿宋" w:eastAsia="仿宋" w:cs="仿宋"/>
                <w:i w:val="0"/>
                <w:iCs w:val="0"/>
                <w:color w:val="000000" w:themeColor="text1"/>
                <w:kern w:val="0"/>
                <w:sz w:val="24"/>
                <w:szCs w:val="24"/>
                <w:u w:val="none"/>
                <w:lang w:val="en-US" w:eastAsia="zh-CN" w:bidi="ar"/>
              </w:rPr>
              <w:t>丰发（2017）34号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年，中共丰宁满族自治县纪委安排政府采购预算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222</w:t>
            </w:r>
            <w:r>
              <w:rPr>
                <w:rFonts w:hint="eastAsia"/>
              </w:rPr>
              <w:t>中共丰宁满族自治县纪委</w:t>
            </w:r>
          </w:p>
        </w:tc>
        <w:tc>
          <w:tcPr>
            <w:tcW w:w="8674" w:type="dxa"/>
            <w:gridSpan w:val="9"/>
            <w:tcBorders>
              <w:top w:val="single" w:color="FFFFFF" w:sz="6" w:space="0"/>
              <w:left w:val="single" w:color="FFFFFF" w:sz="6" w:space="0"/>
              <w:right w:val="single" w:color="FFFFFF" w:sz="6" w:space="0"/>
            </w:tcBorders>
            <w:vAlign w:val="center"/>
          </w:tcPr>
          <w:p>
            <w:pPr>
              <w:pStyle w:val="2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rPr>
                <w:rFonts w:hint="eastAsia"/>
              </w:rPr>
              <w:t>政府采购项目来源</w:t>
            </w:r>
          </w:p>
        </w:tc>
        <w:tc>
          <w:tcPr>
            <w:tcW w:w="1134" w:type="dxa"/>
            <w:vMerge w:val="restart"/>
            <w:vAlign w:val="center"/>
          </w:tcPr>
          <w:p>
            <w:pPr>
              <w:pStyle w:val="14"/>
            </w:pPr>
            <w:r>
              <w:rPr>
                <w:rFonts w:hint="eastAsia"/>
              </w:rPr>
              <w:t>采购物品名称</w:t>
            </w:r>
          </w:p>
        </w:tc>
        <w:tc>
          <w:tcPr>
            <w:tcW w:w="1134" w:type="dxa"/>
            <w:vMerge w:val="restart"/>
            <w:vAlign w:val="center"/>
          </w:tcPr>
          <w:p>
            <w:pPr>
              <w:pStyle w:val="14"/>
            </w:pPr>
            <w:r>
              <w:rPr>
                <w:rFonts w:hint="eastAsia"/>
              </w:rPr>
              <w:t>政府采购目录序号</w:t>
            </w:r>
          </w:p>
        </w:tc>
        <w:tc>
          <w:tcPr>
            <w:tcW w:w="709" w:type="dxa"/>
            <w:vMerge w:val="restart"/>
            <w:vAlign w:val="center"/>
          </w:tcPr>
          <w:p>
            <w:pPr>
              <w:pStyle w:val="14"/>
            </w:pPr>
            <w:r>
              <w:rPr>
                <w:rFonts w:hint="eastAsia"/>
              </w:rPr>
              <w:t>计量</w:t>
            </w:r>
            <w:r>
              <w:t xml:space="preserve">  </w:t>
            </w:r>
            <w:r>
              <w:rPr>
                <w:rFonts w:hint="eastAsia"/>
              </w:rPr>
              <w:t>单位</w:t>
            </w:r>
          </w:p>
        </w:tc>
        <w:tc>
          <w:tcPr>
            <w:tcW w:w="850" w:type="dxa"/>
            <w:vMerge w:val="restart"/>
            <w:vAlign w:val="center"/>
          </w:tcPr>
          <w:p>
            <w:pPr>
              <w:pStyle w:val="14"/>
            </w:pPr>
            <w:r>
              <w:rPr>
                <w:rFonts w:hint="eastAsia"/>
              </w:rPr>
              <w:t>数量</w:t>
            </w:r>
          </w:p>
        </w:tc>
        <w:tc>
          <w:tcPr>
            <w:tcW w:w="850" w:type="dxa"/>
            <w:vMerge w:val="restart"/>
            <w:vAlign w:val="center"/>
          </w:tcPr>
          <w:p>
            <w:pPr>
              <w:pStyle w:val="14"/>
            </w:pPr>
            <w:r>
              <w:rPr>
                <w:rFonts w:hint="eastAsia"/>
              </w:rPr>
              <w:t>单价</w:t>
            </w:r>
          </w:p>
        </w:tc>
        <w:tc>
          <w:tcPr>
            <w:tcW w:w="7710" w:type="dxa"/>
            <w:gridSpan w:val="8"/>
            <w:vAlign w:val="center"/>
          </w:tcPr>
          <w:p>
            <w:pPr>
              <w:pStyle w:val="14"/>
            </w:pPr>
            <w:r>
              <w:rPr>
                <w:rFonts w:hint="eastAsia"/>
              </w:rPr>
              <w:t>政府采购金额（当年部门预算安排资金）</w:t>
            </w:r>
          </w:p>
        </w:tc>
        <w:tc>
          <w:tcPr>
            <w:tcW w:w="964" w:type="dxa"/>
            <w:vMerge w:val="restart"/>
            <w:vAlign w:val="center"/>
          </w:tcPr>
          <w:p>
            <w:pPr>
              <w:pStyle w:val="14"/>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rPr>
                <w:rFonts w:hint="eastAsia"/>
              </w:rPr>
              <w:t>项目名称</w:t>
            </w:r>
          </w:p>
        </w:tc>
        <w:tc>
          <w:tcPr>
            <w:tcW w:w="964" w:type="dxa"/>
            <w:vAlign w:val="center"/>
          </w:tcPr>
          <w:p>
            <w:pPr>
              <w:pStyle w:val="14"/>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rPr>
                <w:rFonts w:hint="eastAsia"/>
              </w:rPr>
              <w:t>合计</w:t>
            </w:r>
          </w:p>
        </w:tc>
        <w:tc>
          <w:tcPr>
            <w:tcW w:w="964" w:type="dxa"/>
            <w:vAlign w:val="center"/>
          </w:tcPr>
          <w:p>
            <w:pPr>
              <w:pStyle w:val="14"/>
            </w:pPr>
            <w:r>
              <w:rPr>
                <w:rFonts w:hint="eastAsia"/>
              </w:rPr>
              <w:t>一般公共预算拨款</w:t>
            </w:r>
          </w:p>
        </w:tc>
        <w:tc>
          <w:tcPr>
            <w:tcW w:w="964" w:type="dxa"/>
            <w:vAlign w:val="center"/>
          </w:tcPr>
          <w:p>
            <w:pPr>
              <w:pStyle w:val="14"/>
            </w:pPr>
            <w:r>
              <w:rPr>
                <w:rFonts w:hint="eastAsia"/>
              </w:rPr>
              <w:t>基金预算拨款</w:t>
            </w:r>
          </w:p>
        </w:tc>
        <w:tc>
          <w:tcPr>
            <w:tcW w:w="964" w:type="dxa"/>
            <w:vAlign w:val="center"/>
          </w:tcPr>
          <w:p>
            <w:pPr>
              <w:pStyle w:val="14"/>
            </w:pPr>
            <w:r>
              <w:rPr>
                <w:rFonts w:hint="eastAsia"/>
              </w:rPr>
              <w:t>国有资本经营预算拨款</w:t>
            </w:r>
          </w:p>
        </w:tc>
        <w:tc>
          <w:tcPr>
            <w:tcW w:w="964" w:type="dxa"/>
            <w:vAlign w:val="center"/>
          </w:tcPr>
          <w:p>
            <w:pPr>
              <w:pStyle w:val="14"/>
            </w:pPr>
            <w:r>
              <w:rPr>
                <w:rFonts w:hint="eastAsia"/>
              </w:rPr>
              <w:t>财政专户核拨</w:t>
            </w:r>
          </w:p>
        </w:tc>
        <w:tc>
          <w:tcPr>
            <w:tcW w:w="964" w:type="dxa"/>
            <w:vAlign w:val="center"/>
          </w:tcPr>
          <w:p>
            <w:pPr>
              <w:pStyle w:val="14"/>
            </w:pPr>
            <w:r>
              <w:rPr>
                <w:rFonts w:hint="eastAsia"/>
              </w:rPr>
              <w:t>单位</w:t>
            </w:r>
            <w:r>
              <w:t xml:space="preserve">    </w:t>
            </w:r>
            <w:r>
              <w:rPr>
                <w:rFonts w:hint="eastAsia"/>
              </w:rPr>
              <w:t>资金</w:t>
            </w:r>
          </w:p>
        </w:tc>
        <w:tc>
          <w:tcPr>
            <w:tcW w:w="964" w:type="dxa"/>
            <w:vAlign w:val="center"/>
          </w:tcPr>
          <w:p>
            <w:pPr>
              <w:pStyle w:val="14"/>
            </w:pPr>
            <w:r>
              <w:rPr>
                <w:rFonts w:hint="eastAsia"/>
              </w:rPr>
              <w:t>财政拨</w:t>
            </w:r>
            <w:r>
              <w:t xml:space="preserve">    </w:t>
            </w:r>
            <w:r>
              <w:rPr>
                <w:rFonts w:hint="eastAsia"/>
              </w:rPr>
              <w:t>款结转</w:t>
            </w:r>
          </w:p>
        </w:tc>
        <w:tc>
          <w:tcPr>
            <w:tcW w:w="964" w:type="dxa"/>
            <w:vAlign w:val="center"/>
          </w:tcPr>
          <w:p>
            <w:pPr>
              <w:pStyle w:val="14"/>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中共丰宁满族自治县纪委（含所属单位）上年末固定资产金额为</w:t>
      </w:r>
      <w:r>
        <w:rPr>
          <w:rFonts w:eastAsia="方正仿宋_GBK"/>
          <w:color w:val="000000"/>
          <w:sz w:val="28"/>
        </w:rPr>
        <w:t>695.03</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222</w:t>
            </w:r>
            <w:r>
              <w:rPr>
                <w:rFonts w:hint="eastAsia"/>
              </w:rPr>
              <w:t>中共丰宁满族自治县纪委</w:t>
            </w:r>
          </w:p>
        </w:tc>
        <w:tc>
          <w:tcPr>
            <w:tcW w:w="5669" w:type="dxa"/>
            <w:gridSpan w:val="2"/>
            <w:tcBorders>
              <w:top w:val="single" w:color="FFFFFF" w:sz="6" w:space="0"/>
              <w:left w:val="single" w:color="FFFFFF" w:sz="6" w:space="0"/>
              <w:right w:val="single" w:color="FFFFFF" w:sz="6" w:space="0"/>
            </w:tcBorders>
            <w:vAlign w:val="center"/>
          </w:tcPr>
          <w:p>
            <w:pPr>
              <w:pStyle w:val="11"/>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rPr>
                <w:rFonts w:hint="eastAsia"/>
              </w:rPr>
              <w:t>项</w:t>
            </w:r>
            <w:r>
              <w:t xml:space="preserve">   </w:t>
            </w:r>
            <w:r>
              <w:rPr>
                <w:rFonts w:hint="eastAsia"/>
              </w:rPr>
              <w:t>目</w:t>
            </w:r>
          </w:p>
        </w:tc>
        <w:tc>
          <w:tcPr>
            <w:tcW w:w="2835" w:type="dxa"/>
            <w:vAlign w:val="center"/>
          </w:tcPr>
          <w:p>
            <w:pPr>
              <w:pStyle w:val="14"/>
            </w:pPr>
            <w:r>
              <w:rPr>
                <w:rFonts w:hint="eastAsia"/>
              </w:rPr>
              <w:t>数量</w:t>
            </w:r>
          </w:p>
        </w:tc>
        <w:tc>
          <w:tcPr>
            <w:tcW w:w="2835" w:type="dxa"/>
            <w:vAlign w:val="center"/>
          </w:tcPr>
          <w:p>
            <w:pPr>
              <w:pStyle w:val="14"/>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资产总额</w:t>
            </w:r>
          </w:p>
        </w:tc>
        <w:tc>
          <w:tcPr>
            <w:tcW w:w="2835" w:type="dxa"/>
            <w:vAlign w:val="center"/>
          </w:tcPr>
          <w:p>
            <w:pPr>
              <w:pStyle w:val="17"/>
            </w:pPr>
          </w:p>
        </w:tc>
        <w:tc>
          <w:tcPr>
            <w:tcW w:w="2835" w:type="dxa"/>
            <w:vAlign w:val="center"/>
          </w:tcPr>
          <w:p>
            <w:pPr>
              <w:pStyle w:val="15"/>
            </w:pPr>
            <w:r>
              <w:t>695.03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w:t>
            </w:r>
            <w:r>
              <w:rPr>
                <w:rFonts w:hint="eastAsia"/>
              </w:rPr>
              <w:t>、房屋（平方米）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rPr>
                <w:rFonts w:hint="eastAsia"/>
              </w:rP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w:t>
            </w:r>
            <w:r>
              <w:rPr>
                <w:rFonts w:hint="eastAsia"/>
              </w:rPr>
              <w:t>、车辆（台、辆）</w:t>
            </w:r>
          </w:p>
        </w:tc>
        <w:tc>
          <w:tcPr>
            <w:tcW w:w="2835" w:type="dxa"/>
            <w:vAlign w:val="center"/>
          </w:tcPr>
          <w:p>
            <w:pPr>
              <w:pStyle w:val="17"/>
            </w:pPr>
            <w:r>
              <w:t>8</w:t>
            </w:r>
          </w:p>
        </w:tc>
        <w:tc>
          <w:tcPr>
            <w:tcW w:w="2835" w:type="dxa"/>
            <w:vAlign w:val="center"/>
          </w:tcPr>
          <w:p>
            <w:pPr>
              <w:pStyle w:val="15"/>
            </w:pPr>
            <w:r>
              <w:t>140.34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w:t>
            </w:r>
            <w:r>
              <w:rPr>
                <w:rFonts w:hint="eastAsia"/>
              </w:rPr>
              <w:t>、单价在</w:t>
            </w:r>
            <w:r>
              <w:t>20</w:t>
            </w:r>
            <w:r>
              <w:rPr>
                <w:rFonts w:hint="eastAsia"/>
              </w:rPr>
              <w:t>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w:t>
            </w:r>
            <w:r>
              <w:rPr>
                <w:rFonts w:hint="eastAsia"/>
              </w:rPr>
              <w:t>、其他固定资产</w:t>
            </w:r>
          </w:p>
        </w:tc>
        <w:tc>
          <w:tcPr>
            <w:tcW w:w="2835" w:type="dxa"/>
            <w:vAlign w:val="center"/>
          </w:tcPr>
          <w:p>
            <w:pPr>
              <w:pStyle w:val="17"/>
            </w:pPr>
            <w:r>
              <w:t>802</w:t>
            </w:r>
          </w:p>
        </w:tc>
        <w:tc>
          <w:tcPr>
            <w:tcW w:w="2835" w:type="dxa"/>
            <w:vAlign w:val="center"/>
          </w:tcPr>
          <w:p>
            <w:pPr>
              <w:pStyle w:val="15"/>
            </w:pPr>
            <w:r>
              <w:t>554.69</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MTk3OGM3NDUzNzIxMmZhOTRmNDQ3NTAyY2JiODgifQ=="/>
  </w:docVars>
  <w:rsids>
    <w:rsidRoot w:val="002942B6"/>
    <w:rsid w:val="002942B6"/>
    <w:rsid w:val="00324181"/>
    <w:rsid w:val="00347909"/>
    <w:rsid w:val="009D7F4D"/>
    <w:rsid w:val="00CA2B10"/>
    <w:rsid w:val="00D339C6"/>
    <w:rsid w:val="01917706"/>
    <w:rsid w:val="07410CB5"/>
    <w:rsid w:val="07A1446C"/>
    <w:rsid w:val="119D3595"/>
    <w:rsid w:val="12977B96"/>
    <w:rsid w:val="17AE0CD5"/>
    <w:rsid w:val="1AE15848"/>
    <w:rsid w:val="21F55716"/>
    <w:rsid w:val="25900640"/>
    <w:rsid w:val="28045857"/>
    <w:rsid w:val="290A7173"/>
    <w:rsid w:val="2D650C1F"/>
    <w:rsid w:val="373B661E"/>
    <w:rsid w:val="42114F3B"/>
    <w:rsid w:val="46BA2F30"/>
    <w:rsid w:val="46C0525D"/>
    <w:rsid w:val="48066EFA"/>
    <w:rsid w:val="4B1B4EF2"/>
    <w:rsid w:val="4E6B74B7"/>
    <w:rsid w:val="4F390D7D"/>
    <w:rsid w:val="57650ADB"/>
    <w:rsid w:val="57C87729"/>
    <w:rsid w:val="62AF7F8C"/>
    <w:rsid w:val="63B273B2"/>
    <w:rsid w:val="646E3CD1"/>
    <w:rsid w:val="66B9029B"/>
    <w:rsid w:val="69531AEF"/>
    <w:rsid w:val="6F8827E3"/>
    <w:rsid w:val="73223019"/>
    <w:rsid w:val="772B6DE9"/>
    <w:rsid w:val="77732816"/>
    <w:rsid w:val="7A235628"/>
    <w:rsid w:val="7B870E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10">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footer"/>
    <w:basedOn w:val="1"/>
    <w:link w:val="34"/>
    <w:qFormat/>
    <w:uiPriority w:val="99"/>
    <w:pPr>
      <w:tabs>
        <w:tab w:val="center" w:pos="4153"/>
        <w:tab w:val="right" w:pos="8306"/>
      </w:tabs>
      <w:snapToGrid w:val="0"/>
    </w:pPr>
    <w:rPr>
      <w:sz w:val="18"/>
      <w:szCs w:val="18"/>
    </w:rPr>
  </w:style>
  <w:style w:type="paragraph" w:styleId="4">
    <w:name w:val="header"/>
    <w:basedOn w:val="1"/>
    <w:link w:val="33"/>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99"/>
    <w:pPr>
      <w:spacing w:before="120"/>
      <w:ind w:firstLine="560"/>
    </w:pPr>
    <w:rPr>
      <w:rFonts w:eastAsia="方正仿宋_GBK"/>
      <w:color w:val="000000"/>
      <w:sz w:val="28"/>
    </w:rPr>
  </w:style>
  <w:style w:type="paragraph" w:styleId="6">
    <w:name w:val="toc 4"/>
    <w:basedOn w:val="1"/>
    <w:next w:val="1"/>
    <w:qFormat/>
    <w:uiPriority w:val="99"/>
    <w:pPr>
      <w:ind w:left="720"/>
    </w:pPr>
  </w:style>
  <w:style w:type="paragraph" w:styleId="7">
    <w:name w:val="toc 2"/>
    <w:basedOn w:val="1"/>
    <w:next w:val="1"/>
    <w:qFormat/>
    <w:uiPriority w:val="99"/>
    <w:pPr>
      <w:ind w:left="240"/>
    </w:pPr>
  </w:style>
  <w:style w:type="table" w:styleId="9">
    <w:name w:val="Table Grid"/>
    <w:basedOn w:val="8"/>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99"/>
    <w:pPr>
      <w:jc w:val="right"/>
    </w:pPr>
    <w:rPr>
      <w:rFonts w:ascii="方正小标宋_GBK" w:hAnsi="方正小标宋_GBK" w:eastAsia="方正小标宋_GBK" w:cs="方正小标宋_GBK"/>
    </w:rPr>
  </w:style>
  <w:style w:type="paragraph" w:customStyle="1" w:styleId="12">
    <w:name w:val="单元格样式21"/>
    <w:basedOn w:val="1"/>
    <w:qFormat/>
    <w:uiPriority w:val="99"/>
    <w:pPr>
      <w:jc w:val="center"/>
    </w:pPr>
    <w:rPr>
      <w:rFonts w:ascii="方正小标宋_GBK" w:hAnsi="方正小标宋_GBK" w:eastAsia="方正小标宋_GBK" w:cs="方正小标宋_GBK"/>
    </w:rPr>
  </w:style>
  <w:style w:type="paragraph" w:customStyle="1" w:styleId="13">
    <w:name w:val="单元格样式20"/>
    <w:basedOn w:val="1"/>
    <w:qFormat/>
    <w:uiPriority w:val="99"/>
    <w:rPr>
      <w:rFonts w:ascii="方正小标宋_GBK" w:hAnsi="方正小标宋_GBK" w:eastAsia="方正小标宋_GBK" w:cs="方正小标宋_GBK"/>
    </w:rPr>
  </w:style>
  <w:style w:type="paragraph" w:customStyle="1" w:styleId="14">
    <w:name w:val="单元格样式1"/>
    <w:basedOn w:val="1"/>
    <w:qFormat/>
    <w:uiPriority w:val="99"/>
    <w:pPr>
      <w:jc w:val="center"/>
    </w:pPr>
    <w:rPr>
      <w:rFonts w:ascii="方正书宋_GBK" w:hAnsi="方正书宋_GBK" w:eastAsia="方正书宋_GBK" w:cs="方正书宋_GBK"/>
      <w:b/>
      <w:sz w:val="21"/>
    </w:rPr>
  </w:style>
  <w:style w:type="paragraph" w:customStyle="1" w:styleId="15">
    <w:name w:val="单元格样式4"/>
    <w:basedOn w:val="1"/>
    <w:qFormat/>
    <w:uiPriority w:val="99"/>
    <w:pPr>
      <w:jc w:val="right"/>
    </w:pPr>
    <w:rPr>
      <w:rFonts w:ascii="方正书宋_GBK" w:hAnsi="方正书宋_GBK" w:eastAsia="方正书宋_GBK" w:cs="方正书宋_GBK"/>
      <w:sz w:val="21"/>
    </w:rPr>
  </w:style>
  <w:style w:type="paragraph" w:customStyle="1" w:styleId="16">
    <w:name w:val="单元格样式2"/>
    <w:basedOn w:val="1"/>
    <w:qFormat/>
    <w:uiPriority w:val="99"/>
    <w:rPr>
      <w:rFonts w:ascii="方正书宋_GBK" w:hAnsi="方正书宋_GBK" w:eastAsia="方正书宋_GBK" w:cs="方正书宋_GBK"/>
      <w:sz w:val="21"/>
    </w:rPr>
  </w:style>
  <w:style w:type="paragraph" w:customStyle="1" w:styleId="17">
    <w:name w:val="单元格样式3"/>
    <w:basedOn w:val="1"/>
    <w:qFormat/>
    <w:uiPriority w:val="99"/>
    <w:pPr>
      <w:jc w:val="center"/>
    </w:pPr>
    <w:rPr>
      <w:rFonts w:ascii="方正书宋_GBK" w:hAnsi="方正书宋_GBK" w:eastAsia="方正书宋_GBK" w:cs="方正书宋_GBK"/>
      <w:sz w:val="21"/>
    </w:rPr>
  </w:style>
  <w:style w:type="paragraph" w:customStyle="1" w:styleId="18">
    <w:name w:val="单元格样式6"/>
    <w:basedOn w:val="1"/>
    <w:qFormat/>
    <w:uiPriority w:val="99"/>
    <w:pPr>
      <w:jc w:val="center"/>
    </w:pPr>
    <w:rPr>
      <w:rFonts w:ascii="方正书宋_GBK" w:hAnsi="方正书宋_GBK" w:eastAsia="方正书宋_GBK" w:cs="方正书宋_GBK"/>
      <w:b/>
      <w:sz w:val="21"/>
    </w:rPr>
  </w:style>
  <w:style w:type="paragraph" w:customStyle="1" w:styleId="19">
    <w:name w:val="单元格样式7"/>
    <w:basedOn w:val="1"/>
    <w:qFormat/>
    <w:uiPriority w:val="99"/>
    <w:pPr>
      <w:jc w:val="right"/>
    </w:pPr>
    <w:rPr>
      <w:rFonts w:ascii="方正书宋_GBK" w:hAnsi="方正书宋_GBK" w:eastAsia="方正书宋_GBK" w:cs="方正书宋_GBK"/>
      <w:b/>
      <w:sz w:val="21"/>
    </w:rPr>
  </w:style>
  <w:style w:type="paragraph" w:customStyle="1" w:styleId="20">
    <w:name w:val="单元格样式5"/>
    <w:basedOn w:val="1"/>
    <w:qFormat/>
    <w:uiPriority w:val="99"/>
    <w:rPr>
      <w:rFonts w:ascii="方正书宋_GBK" w:hAnsi="方正书宋_GBK" w:eastAsia="方正书宋_GBK" w:cs="方正书宋_GBK"/>
      <w:b/>
      <w:sz w:val="21"/>
    </w:rPr>
  </w:style>
  <w:style w:type="paragraph" w:customStyle="1" w:styleId="21">
    <w:name w:val="插入文本样式-插入部门职责文件"/>
    <w:basedOn w:val="1"/>
    <w:qFormat/>
    <w:uiPriority w:val="99"/>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5">
    <w:name w:val="插入文本样式-插入总体目标文件"/>
    <w:basedOn w:val="1"/>
    <w:qFormat/>
    <w:uiPriority w:val="99"/>
    <w:pPr>
      <w:spacing w:line="500" w:lineRule="exact"/>
      <w:ind w:firstLine="560"/>
    </w:pPr>
    <w:rPr>
      <w:rFonts w:eastAsia="方正仿宋_GBK"/>
      <w:sz w:val="28"/>
    </w:rPr>
  </w:style>
  <w:style w:type="paragraph" w:customStyle="1" w:styleId="26">
    <w:name w:val="插入文本样式-插入职责分类绩效目标文件"/>
    <w:basedOn w:val="1"/>
    <w:qFormat/>
    <w:uiPriority w:val="99"/>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8">
    <w:name w:val="单元格样式23"/>
    <w:basedOn w:val="1"/>
    <w:qFormat/>
    <w:uiPriority w:val="99"/>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99"/>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99"/>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99"/>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99"/>
    <w:pPr>
      <w:spacing w:line="500" w:lineRule="exact"/>
      <w:ind w:firstLine="560"/>
    </w:pPr>
    <w:rPr>
      <w:rFonts w:eastAsia="方正仿宋_GBK"/>
      <w:sz w:val="28"/>
    </w:rPr>
  </w:style>
  <w:style w:type="character" w:customStyle="1" w:styleId="33">
    <w:name w:val="Header Char"/>
    <w:basedOn w:val="10"/>
    <w:link w:val="4"/>
    <w:semiHidden/>
    <w:qFormat/>
    <w:uiPriority w:val="99"/>
    <w:rPr>
      <w:kern w:val="0"/>
      <w:sz w:val="18"/>
      <w:szCs w:val="18"/>
      <w:lang w:eastAsia="uk-UA"/>
    </w:rPr>
  </w:style>
  <w:style w:type="character" w:customStyle="1" w:styleId="34">
    <w:name w:val="Footer Char"/>
    <w:basedOn w:val="10"/>
    <w:link w:val="3"/>
    <w:semiHidden/>
    <w:qFormat/>
    <w:uiPriority w:val="99"/>
    <w:rPr>
      <w:kern w:val="0"/>
      <w:sz w:val="18"/>
      <w:szCs w:val="18"/>
      <w:lang w:eastAsia="uk-UA"/>
    </w:rPr>
  </w:style>
  <w:style w:type="character" w:customStyle="1" w:styleId="35">
    <w:name w:val="font31"/>
    <w:basedOn w:val="10"/>
    <w:qFormat/>
    <w:uiPriority w:val="0"/>
    <w:rPr>
      <w:rFonts w:hint="eastAsia" w:ascii="宋体" w:hAnsi="宋体" w:eastAsia="宋体" w:cs="宋体"/>
      <w:color w:val="FF0000"/>
      <w:sz w:val="22"/>
      <w:szCs w:val="22"/>
      <w:u w:val="none"/>
    </w:rPr>
  </w:style>
  <w:style w:type="character" w:customStyle="1" w:styleId="36">
    <w:name w:val="font21"/>
    <w:basedOn w:val="10"/>
    <w:qFormat/>
    <w:uiPriority w:val="0"/>
    <w:rPr>
      <w:rFonts w:ascii="Calibri" w:hAnsi="Calibri" w:cs="Calibri"/>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30</Pages>
  <Words>8447</Words>
  <Characters>10077</Characters>
  <Lines>0</Lines>
  <Paragraphs>0</Paragraphs>
  <TotalTime>22</TotalTime>
  <ScaleCrop>false</ScaleCrop>
  <LinksUpToDate>false</LinksUpToDate>
  <CharactersWithSpaces>10264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2022-03-10T09:19:00Z</dcterms:created>
  <dc:creator>Administrator</dc:creator>
  <cp:lastModifiedBy>Administrator</cp:lastModifiedBy>
  <dcterms:modified xsi:type="dcterms:W3CDTF">2022-09-06T06:33:42Z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669AFABFFB634B36AD1258910DA3F038</vt:lpwstr>
  </property>
</Properties>
</file>